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85CD0" w14:textId="77777777" w:rsidR="00F05EB2" w:rsidRDefault="006C46BA">
      <w:pPr>
        <w:pStyle w:val="K"/>
        <w:rPr>
          <w:b/>
        </w:rPr>
      </w:pPr>
      <w:bookmarkStart w:id="0" w:name="_Toc517163068"/>
      <w:r>
        <w:rPr>
          <w:b/>
          <w:lang w:val="hu-HU"/>
        </w:rPr>
        <w:t>4</w:t>
      </w:r>
      <w:r w:rsidR="00F05EB2">
        <w:rPr>
          <w:b/>
          <w:lang w:val="hu-HU"/>
        </w:rPr>
        <w:t xml:space="preserve">.C MELLÉKLET: </w:t>
      </w:r>
      <w:r w:rsidR="00F05EB2">
        <w:rPr>
          <w:b/>
        </w:rPr>
        <w:t>ISMERETLEN BERENDEZÉS MEGFELELŐSÉG-IGAZOLÁSA</w:t>
      </w:r>
    </w:p>
    <w:p w14:paraId="38F85CD1" w14:textId="77777777" w:rsidR="00F05EB2" w:rsidRDefault="00F05EB2">
      <w:pPr>
        <w:rPr>
          <w:b/>
        </w:rPr>
      </w:pPr>
    </w:p>
    <w:p w14:paraId="38F85CD2" w14:textId="77777777" w:rsidR="00F05EB2" w:rsidRDefault="00F05EB2">
      <w:pPr>
        <w:pStyle w:val="Szvegtrzs"/>
        <w:jc w:val="center"/>
        <w:rPr>
          <w:b/>
        </w:rPr>
      </w:pPr>
      <w:r>
        <w:rPr>
          <w:b/>
        </w:rPr>
        <w:t>Tartalom</w:t>
      </w:r>
    </w:p>
    <w:p w14:paraId="38F85CD3" w14:textId="77777777" w:rsidR="00F05EB2" w:rsidRDefault="00F05EB2">
      <w:pPr>
        <w:pStyle w:val="Szvegtrzs"/>
        <w:jc w:val="center"/>
        <w:rPr>
          <w:b/>
        </w:rPr>
      </w:pPr>
    </w:p>
    <w:p w14:paraId="38F85CD4" w14:textId="77777777" w:rsidR="00F05EB2" w:rsidRDefault="00F05EB2">
      <w:pPr>
        <w:pStyle w:val="Szvegtrzs"/>
        <w:jc w:val="center"/>
        <w:rPr>
          <w:b/>
        </w:rPr>
      </w:pPr>
    </w:p>
    <w:p w14:paraId="4BA765DA" w14:textId="714F3B32" w:rsidR="00D46B58" w:rsidRDefault="002765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"1-4" </w:instrText>
      </w:r>
      <w:r>
        <w:rPr>
          <w:b w:val="0"/>
        </w:rPr>
        <w:fldChar w:fldCharType="separate"/>
      </w:r>
      <w:r w:rsidR="00D46B58" w:rsidRPr="003F5813">
        <w:t>1. Alapelvek</w:t>
      </w:r>
      <w:r w:rsidR="00D46B58">
        <w:tab/>
      </w:r>
      <w:r w:rsidR="00D46B58">
        <w:fldChar w:fldCharType="begin"/>
      </w:r>
      <w:r w:rsidR="00D46B58">
        <w:instrText xml:space="preserve"> PAGEREF _Toc531430088 \h </w:instrText>
      </w:r>
      <w:r w:rsidR="00D46B58">
        <w:fldChar w:fldCharType="separate"/>
      </w:r>
      <w:r w:rsidR="00D46B58">
        <w:t>2</w:t>
      </w:r>
      <w:r w:rsidR="00D46B58">
        <w:fldChar w:fldCharType="end"/>
      </w:r>
    </w:p>
    <w:p w14:paraId="6FFB4804" w14:textId="27F52201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2. Általános követelmények</w:t>
      </w:r>
      <w:r>
        <w:tab/>
      </w:r>
      <w:r>
        <w:fldChar w:fldCharType="begin"/>
      </w:r>
      <w:r>
        <w:instrText xml:space="preserve"> PAGEREF _Toc531430089 \h </w:instrText>
      </w:r>
      <w:r>
        <w:fldChar w:fldCharType="separate"/>
      </w:r>
      <w:r>
        <w:t>4</w:t>
      </w:r>
      <w:r>
        <w:fldChar w:fldCharType="end"/>
      </w:r>
    </w:p>
    <w:p w14:paraId="1606A9E8" w14:textId="25EB5412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3. Távközlési szempontú minősítés</w:t>
      </w:r>
      <w:r>
        <w:tab/>
      </w:r>
      <w:r>
        <w:fldChar w:fldCharType="begin"/>
      </w:r>
      <w:r>
        <w:instrText xml:space="preserve"> PAGEREF _Toc531430090 \h </w:instrText>
      </w:r>
      <w:r>
        <w:fldChar w:fldCharType="separate"/>
      </w:r>
      <w:r>
        <w:t>5</w:t>
      </w:r>
      <w:r>
        <w:fldChar w:fldCharType="end"/>
      </w:r>
    </w:p>
    <w:p w14:paraId="18B0E4DA" w14:textId="10A74747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4. EMC szempontú minősítés</w:t>
      </w:r>
      <w:r>
        <w:tab/>
      </w:r>
      <w:r>
        <w:fldChar w:fldCharType="begin"/>
      </w:r>
      <w:r>
        <w:instrText xml:space="preserve"> PAGEREF _Toc531430091 \h </w:instrText>
      </w:r>
      <w:r>
        <w:fldChar w:fldCharType="separate"/>
      </w:r>
      <w:r>
        <w:t>7</w:t>
      </w:r>
      <w:r>
        <w:fldChar w:fldCharType="end"/>
      </w:r>
    </w:p>
    <w:p w14:paraId="5548422E" w14:textId="7391E752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4.1 Elektromágneses zavarás</w:t>
      </w:r>
      <w:r>
        <w:tab/>
      </w:r>
      <w:r>
        <w:fldChar w:fldCharType="begin"/>
      </w:r>
      <w:r>
        <w:instrText xml:space="preserve"> PAGEREF _Toc531430092 \h </w:instrText>
      </w:r>
      <w:r>
        <w:fldChar w:fldCharType="separate"/>
      </w:r>
      <w:r>
        <w:t>7</w:t>
      </w:r>
      <w:r>
        <w:fldChar w:fldCharType="end"/>
      </w:r>
    </w:p>
    <w:p w14:paraId="501FC763" w14:textId="7B09A0D9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4.1.1 Vezetett zavarás</w:t>
      </w:r>
      <w:r>
        <w:tab/>
      </w:r>
      <w:r>
        <w:fldChar w:fldCharType="begin"/>
      </w:r>
      <w:r>
        <w:instrText xml:space="preserve"> PAGEREF _Toc531430093 \h </w:instrText>
      </w:r>
      <w:r>
        <w:fldChar w:fldCharType="separate"/>
      </w:r>
      <w:r>
        <w:t>7</w:t>
      </w:r>
      <w:r>
        <w:fldChar w:fldCharType="end"/>
      </w:r>
    </w:p>
    <w:p w14:paraId="6E30F149" w14:textId="08685202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4.2 Elektromágneses zavartűrés</w:t>
      </w:r>
      <w:r>
        <w:tab/>
      </w:r>
      <w:r>
        <w:fldChar w:fldCharType="begin"/>
      </w:r>
      <w:r>
        <w:instrText xml:space="preserve"> PAGEREF _Toc531430094 \h </w:instrText>
      </w:r>
      <w:r>
        <w:fldChar w:fldCharType="separate"/>
      </w:r>
      <w:r>
        <w:t>7</w:t>
      </w:r>
      <w:r>
        <w:fldChar w:fldCharType="end"/>
      </w:r>
    </w:p>
    <w:p w14:paraId="66A572EE" w14:textId="31066B9A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4.2.1 Vezetett zavartűrés</w:t>
      </w:r>
      <w:r>
        <w:tab/>
      </w:r>
      <w:r>
        <w:fldChar w:fldCharType="begin"/>
      </w:r>
      <w:r>
        <w:instrText xml:space="preserve"> PAGEREF _Toc531430095 \h </w:instrText>
      </w:r>
      <w:r>
        <w:fldChar w:fldCharType="separate"/>
      </w:r>
      <w:r>
        <w:t>7</w:t>
      </w:r>
      <w:r>
        <w:fldChar w:fldCharType="end"/>
      </w:r>
    </w:p>
    <w:p w14:paraId="74370693" w14:textId="01FFC62D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4.2.2 Sugárzott zavartűrés</w:t>
      </w:r>
      <w:r>
        <w:tab/>
      </w:r>
      <w:r>
        <w:fldChar w:fldCharType="begin"/>
      </w:r>
      <w:r>
        <w:instrText xml:space="preserve"> PAGEREF _Toc531430096 \h </w:instrText>
      </w:r>
      <w:r>
        <w:fldChar w:fldCharType="separate"/>
      </w:r>
      <w:r>
        <w:t>7</w:t>
      </w:r>
      <w:r>
        <w:fldChar w:fldCharType="end"/>
      </w:r>
    </w:p>
    <w:p w14:paraId="7E0427BD" w14:textId="070C86EE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4.3 Elektrosztatikus kisüléssel szembeni zavartűrés (ESD)</w:t>
      </w:r>
      <w:r>
        <w:tab/>
      </w:r>
      <w:r>
        <w:fldChar w:fldCharType="begin"/>
      </w:r>
      <w:r>
        <w:instrText xml:space="preserve"> PAGEREF _Toc531430097 \h </w:instrText>
      </w:r>
      <w:r>
        <w:fldChar w:fldCharType="separate"/>
      </w:r>
      <w:r>
        <w:t>7</w:t>
      </w:r>
      <w:r>
        <w:fldChar w:fldCharType="end"/>
      </w:r>
    </w:p>
    <w:p w14:paraId="0075850F" w14:textId="7873875F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4.4 Elektromos gyors tranziensekkel (burst) szembeni zavartűrés (EFT)</w:t>
      </w:r>
      <w:r>
        <w:tab/>
      </w:r>
      <w:r>
        <w:fldChar w:fldCharType="begin"/>
      </w:r>
      <w:r>
        <w:instrText xml:space="preserve"> PAGEREF _Toc531430098 \h </w:instrText>
      </w:r>
      <w:r>
        <w:fldChar w:fldCharType="separate"/>
      </w:r>
      <w:r>
        <w:t>8</w:t>
      </w:r>
      <w:r>
        <w:fldChar w:fldCharType="end"/>
      </w:r>
    </w:p>
    <w:p w14:paraId="377E4C9E" w14:textId="55723A93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4.5 Lökő-hullámokkal szembeni zavartűrés</w:t>
      </w:r>
      <w:r>
        <w:tab/>
      </w:r>
      <w:r>
        <w:fldChar w:fldCharType="begin"/>
      </w:r>
      <w:r>
        <w:instrText xml:space="preserve"> PAGEREF _Toc531430099 \h </w:instrText>
      </w:r>
      <w:r>
        <w:fldChar w:fldCharType="separate"/>
      </w:r>
      <w:r>
        <w:t>8</w:t>
      </w:r>
      <w:r>
        <w:fldChar w:fldCharType="end"/>
      </w:r>
    </w:p>
    <w:p w14:paraId="034E1DC6" w14:textId="1524BABC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5 Villamos biztonságtechnikai szempontú minősítés</w:t>
      </w:r>
      <w:r>
        <w:tab/>
      </w:r>
      <w:r>
        <w:fldChar w:fldCharType="begin"/>
      </w:r>
      <w:r>
        <w:instrText xml:space="preserve"> PAGEREF _Toc531430100 \h </w:instrText>
      </w:r>
      <w:r>
        <w:fldChar w:fldCharType="separate"/>
      </w:r>
      <w:r>
        <w:t>8</w:t>
      </w:r>
      <w:r>
        <w:fldChar w:fldCharType="end"/>
      </w:r>
    </w:p>
    <w:p w14:paraId="66D8E1BC" w14:textId="52984727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6. Áramellátási szempontú minősítés</w:t>
      </w:r>
      <w:r>
        <w:tab/>
      </w:r>
      <w:r>
        <w:fldChar w:fldCharType="begin"/>
      </w:r>
      <w:r>
        <w:instrText xml:space="preserve"> PAGEREF _Toc531430101 \h </w:instrText>
      </w:r>
      <w:r>
        <w:fldChar w:fldCharType="separate"/>
      </w:r>
      <w:r>
        <w:t>9</w:t>
      </w:r>
      <w:r>
        <w:fldChar w:fldCharType="end"/>
      </w:r>
    </w:p>
    <w:p w14:paraId="2958DAF8" w14:textId="49F15F76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6.1 48V DC névleges feszültségű megszakításmentes áramellátási csatlakoztatási felületről üzemelő berendezések</w:t>
      </w:r>
      <w:r>
        <w:tab/>
      </w:r>
      <w:r>
        <w:fldChar w:fldCharType="begin"/>
      </w:r>
      <w:r>
        <w:instrText xml:space="preserve"> PAGEREF _Toc531430102 \h </w:instrText>
      </w:r>
      <w:r>
        <w:fldChar w:fldCharType="separate"/>
      </w:r>
      <w:r>
        <w:t>10</w:t>
      </w:r>
      <w:r>
        <w:fldChar w:fldCharType="end"/>
      </w:r>
    </w:p>
    <w:p w14:paraId="50D51543" w14:textId="57050FCE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6.1.1 Általános követelmény</w:t>
      </w:r>
      <w:r>
        <w:tab/>
      </w:r>
      <w:r>
        <w:fldChar w:fldCharType="begin"/>
      </w:r>
      <w:r>
        <w:instrText xml:space="preserve"> PAGEREF _Toc531430103 \h </w:instrText>
      </w:r>
      <w:r>
        <w:fldChar w:fldCharType="separate"/>
      </w:r>
      <w:r>
        <w:t>10</w:t>
      </w:r>
      <w:r>
        <w:fldChar w:fldCharType="end"/>
      </w:r>
    </w:p>
    <w:p w14:paraId="199D9BE3" w14:textId="6A7D1FCF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6.1.2 Üzemi feszültségtartomány</w:t>
      </w:r>
      <w:r>
        <w:tab/>
      </w:r>
      <w:r>
        <w:fldChar w:fldCharType="begin"/>
      </w:r>
      <w:r>
        <w:instrText xml:space="preserve"> PAGEREF _Toc531430104 \h </w:instrText>
      </w:r>
      <w:r>
        <w:fldChar w:fldCharType="separate"/>
      </w:r>
      <w:r>
        <w:t>10</w:t>
      </w:r>
      <w:r>
        <w:fldChar w:fldCharType="end"/>
      </w:r>
    </w:p>
    <w:p w14:paraId="4E720032" w14:textId="2202769A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6.1.3 A berendezés bekapcsolási áramlökése</w:t>
      </w:r>
      <w:r>
        <w:tab/>
      </w:r>
      <w:r>
        <w:fldChar w:fldCharType="begin"/>
      </w:r>
      <w:r>
        <w:instrText xml:space="preserve"> PAGEREF _Toc531430105 \h </w:instrText>
      </w:r>
      <w:r>
        <w:fldChar w:fldCharType="separate"/>
      </w:r>
      <w:r>
        <w:t>10</w:t>
      </w:r>
      <w:r>
        <w:fldChar w:fldCharType="end"/>
      </w:r>
    </w:p>
    <w:p w14:paraId="067E68DE" w14:textId="5492BAED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6.1.4 A betelepített berendezés által az áramellátási csatlakozási felületre injektált zajfeszültségek megengedett szintjei:</w:t>
      </w:r>
      <w:r>
        <w:tab/>
      </w:r>
      <w:r>
        <w:fldChar w:fldCharType="begin"/>
      </w:r>
      <w:r>
        <w:instrText xml:space="preserve"> PAGEREF _Toc531430106 \h </w:instrText>
      </w:r>
      <w:r>
        <w:fldChar w:fldCharType="separate"/>
      </w:r>
      <w:r>
        <w:t>11</w:t>
      </w:r>
      <w:r>
        <w:fldChar w:fldCharType="end"/>
      </w:r>
    </w:p>
    <w:p w14:paraId="3A89B2F0" w14:textId="14FA0C85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6.1.5 Betáplálások védelme az áramellátási csatlakozási felületnél</w:t>
      </w:r>
      <w:r>
        <w:tab/>
      </w:r>
      <w:r>
        <w:fldChar w:fldCharType="begin"/>
      </w:r>
      <w:r>
        <w:instrText xml:space="preserve"> PAGEREF _Toc531430107 \h </w:instrText>
      </w:r>
      <w:r>
        <w:fldChar w:fldCharType="separate"/>
      </w:r>
      <w:r>
        <w:t>11</w:t>
      </w:r>
      <w:r>
        <w:fldChar w:fldCharType="end"/>
      </w:r>
    </w:p>
    <w:p w14:paraId="4FA2740F" w14:textId="6FDF303B" w:rsidR="00D46B58" w:rsidRDefault="00D46B58">
      <w:pPr>
        <w:pStyle w:val="TJ3"/>
        <w:rPr>
          <w:rFonts w:asciiTheme="minorHAnsi" w:eastAsiaTheme="minorEastAsia" w:hAnsiTheme="minorHAnsi" w:cstheme="minorBidi"/>
          <w:szCs w:val="22"/>
        </w:rPr>
      </w:pPr>
      <w:r w:rsidRPr="003F5813">
        <w:t>6.2 A 230V AC tápellátási csatlakozási felületre vonatkozó követelmények</w:t>
      </w:r>
      <w:r>
        <w:tab/>
      </w:r>
      <w:r>
        <w:fldChar w:fldCharType="begin"/>
      </w:r>
      <w:r>
        <w:instrText xml:space="preserve"> PAGEREF _Toc531430108 \h </w:instrText>
      </w:r>
      <w:r>
        <w:fldChar w:fldCharType="separate"/>
      </w:r>
      <w:r>
        <w:t>12</w:t>
      </w:r>
      <w:r>
        <w:fldChar w:fldCharType="end"/>
      </w:r>
    </w:p>
    <w:p w14:paraId="264B393E" w14:textId="027E7D64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>
        <w:t>6.2.1 Általános követelmény</w:t>
      </w:r>
      <w:r>
        <w:tab/>
      </w:r>
      <w:r>
        <w:fldChar w:fldCharType="begin"/>
      </w:r>
      <w:r>
        <w:instrText xml:space="preserve"> PAGEREF _Toc531430109 \h </w:instrText>
      </w:r>
      <w:r>
        <w:fldChar w:fldCharType="separate"/>
      </w:r>
      <w:r>
        <w:t>12</w:t>
      </w:r>
      <w:r>
        <w:fldChar w:fldCharType="end"/>
      </w:r>
    </w:p>
    <w:p w14:paraId="2EDFD88A" w14:textId="190B2C99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6.2.2 A bemeneti feszültségtartomány</w:t>
      </w:r>
      <w:r>
        <w:tab/>
      </w:r>
      <w:r>
        <w:fldChar w:fldCharType="begin"/>
      </w:r>
      <w:r>
        <w:instrText xml:space="preserve"> PAGEREF _Toc531430110 \h </w:instrText>
      </w:r>
      <w:r>
        <w:fldChar w:fldCharType="separate"/>
      </w:r>
      <w:r>
        <w:t>12</w:t>
      </w:r>
      <w:r>
        <w:fldChar w:fldCharType="end"/>
      </w:r>
    </w:p>
    <w:p w14:paraId="5C82F7E1" w14:textId="360CDBB0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6.2.3 A berendezés bekapcsolási áramlökése</w:t>
      </w:r>
      <w:r>
        <w:tab/>
      </w:r>
      <w:r>
        <w:fldChar w:fldCharType="begin"/>
      </w:r>
      <w:r>
        <w:instrText xml:space="preserve"> PAGEREF _Toc531430111 \h </w:instrText>
      </w:r>
      <w:r>
        <w:fldChar w:fldCharType="separate"/>
      </w:r>
      <w:r>
        <w:t>12</w:t>
      </w:r>
      <w:r>
        <w:fldChar w:fldCharType="end"/>
      </w:r>
    </w:p>
    <w:p w14:paraId="276C5319" w14:textId="6FB0381C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>
        <w:t>6.2.4 A betelepített berendezés felvett áramának harmonikus tartama</w:t>
      </w:r>
      <w:r>
        <w:tab/>
      </w:r>
      <w:r>
        <w:fldChar w:fldCharType="begin"/>
      </w:r>
      <w:r>
        <w:instrText xml:space="preserve"> PAGEREF _Toc531430112 \h </w:instrText>
      </w:r>
      <w:r>
        <w:fldChar w:fldCharType="separate"/>
      </w:r>
      <w:r>
        <w:t>12</w:t>
      </w:r>
      <w:r>
        <w:fldChar w:fldCharType="end"/>
      </w:r>
    </w:p>
    <w:p w14:paraId="01BCB031" w14:textId="354B1130" w:rsidR="00D46B58" w:rsidRDefault="00D46B58">
      <w:pPr>
        <w:pStyle w:val="TJ4"/>
        <w:rPr>
          <w:rFonts w:asciiTheme="minorHAnsi" w:eastAsiaTheme="minorEastAsia" w:hAnsiTheme="minorHAnsi" w:cstheme="minorBidi"/>
          <w:szCs w:val="22"/>
        </w:rPr>
      </w:pPr>
      <w:r w:rsidRPr="003F5813">
        <w:t>6.2.5 Betáplálások védelme az áramellátási interfésznél</w:t>
      </w:r>
      <w:r>
        <w:tab/>
      </w:r>
      <w:r>
        <w:fldChar w:fldCharType="begin"/>
      </w:r>
      <w:r>
        <w:instrText xml:space="preserve"> PAGEREF _Toc531430113 \h </w:instrText>
      </w:r>
      <w:r>
        <w:fldChar w:fldCharType="separate"/>
      </w:r>
      <w:r>
        <w:t>13</w:t>
      </w:r>
      <w:r>
        <w:fldChar w:fldCharType="end"/>
      </w:r>
    </w:p>
    <w:p w14:paraId="3EBFED91" w14:textId="1C0E2556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7. Környezetvédelmi és környezetállósági szempontú minősítés</w:t>
      </w:r>
      <w:r>
        <w:tab/>
      </w:r>
      <w:r>
        <w:fldChar w:fldCharType="begin"/>
      </w:r>
      <w:r>
        <w:instrText xml:space="preserve"> PAGEREF _Toc531430114 \h </w:instrText>
      </w:r>
      <w:r>
        <w:fldChar w:fldCharType="separate"/>
      </w:r>
      <w:r>
        <w:t>13</w:t>
      </w:r>
      <w:r>
        <w:fldChar w:fldCharType="end"/>
      </w:r>
    </w:p>
    <w:p w14:paraId="64099C22" w14:textId="0EE2DBE5" w:rsidR="00D46B58" w:rsidRDefault="00D46B58">
      <w:pPr>
        <w:pStyle w:val="TJ2"/>
        <w:rPr>
          <w:rFonts w:asciiTheme="minorHAnsi" w:eastAsiaTheme="minorEastAsia" w:hAnsiTheme="minorHAnsi" w:cstheme="minorBidi"/>
          <w:b w:val="0"/>
          <w:szCs w:val="22"/>
        </w:rPr>
      </w:pPr>
      <w:r w:rsidRPr="003F5813">
        <w:t>8. A Berendezés Alkalmassági vizsgálat értékelése</w:t>
      </w:r>
      <w:r>
        <w:tab/>
      </w:r>
      <w:r>
        <w:fldChar w:fldCharType="begin"/>
      </w:r>
      <w:r>
        <w:instrText xml:space="preserve"> PAGEREF _Toc531430115 \h </w:instrText>
      </w:r>
      <w:r>
        <w:fldChar w:fldCharType="separate"/>
      </w:r>
      <w:r>
        <w:t>14</w:t>
      </w:r>
      <w:r>
        <w:fldChar w:fldCharType="end"/>
      </w:r>
    </w:p>
    <w:p w14:paraId="38F85CF3" w14:textId="66970BAA" w:rsidR="00276558" w:rsidRDefault="00276558">
      <w:pPr>
        <w:pStyle w:val="TJ2"/>
        <w:rPr>
          <w:b w:val="0"/>
        </w:rPr>
      </w:pPr>
      <w:r>
        <w:rPr>
          <w:b w:val="0"/>
        </w:rPr>
        <w:fldChar w:fldCharType="end"/>
      </w:r>
    </w:p>
    <w:p w14:paraId="38F85CF4" w14:textId="77777777" w:rsidR="00F05EB2" w:rsidRDefault="00F05EB2">
      <w:pPr>
        <w:pStyle w:val="Cmsor2"/>
        <w:rPr>
          <w:color w:val="auto"/>
        </w:rPr>
      </w:pPr>
      <w:bookmarkStart w:id="1" w:name="_Toc38190141"/>
      <w:r>
        <w:rPr>
          <w:color w:val="auto"/>
        </w:rPr>
        <w:br w:type="page"/>
      </w:r>
      <w:bookmarkStart w:id="2" w:name="_Toc188769839"/>
      <w:bookmarkStart w:id="3" w:name="_Toc188769955"/>
      <w:bookmarkStart w:id="4" w:name="_Toc117592363"/>
      <w:bookmarkStart w:id="5" w:name="_Toc531430088"/>
      <w:r>
        <w:rPr>
          <w:color w:val="auto"/>
        </w:rPr>
        <w:lastRenderedPageBreak/>
        <w:t>1. A</w:t>
      </w:r>
      <w:bookmarkEnd w:id="1"/>
      <w:r>
        <w:rPr>
          <w:color w:val="auto"/>
        </w:rPr>
        <w:t>lapelvek</w:t>
      </w:r>
      <w:bookmarkEnd w:id="2"/>
      <w:bookmarkEnd w:id="3"/>
      <w:bookmarkEnd w:id="4"/>
      <w:bookmarkEnd w:id="5"/>
    </w:p>
    <w:p w14:paraId="38F85CF5" w14:textId="77777777" w:rsidR="00F05EB2" w:rsidRDefault="00F05EB2">
      <w:pPr>
        <w:pStyle w:val="B"/>
      </w:pPr>
      <w:bookmarkStart w:id="6" w:name="_Toc38190142"/>
    </w:p>
    <w:p w14:paraId="4D092F0B" w14:textId="6A58EFE8" w:rsidR="007E1313" w:rsidRDefault="007E1313" w:rsidP="00E72F01">
      <w:pPr>
        <w:pStyle w:val="B"/>
        <w:numPr>
          <w:ilvl w:val="1"/>
          <w:numId w:val="48"/>
        </w:numPr>
      </w:pPr>
      <w:r>
        <w:t>Berendezés Alkalmassági Vizsgálat</w:t>
      </w:r>
    </w:p>
    <w:p w14:paraId="2EF173E6" w14:textId="77777777" w:rsidR="007F7FF0" w:rsidRDefault="007F7FF0" w:rsidP="00E72F01">
      <w:pPr>
        <w:pStyle w:val="B"/>
        <w:ind w:left="870" w:firstLine="0"/>
        <w:rPr>
          <w:szCs w:val="24"/>
        </w:rPr>
      </w:pPr>
    </w:p>
    <w:p w14:paraId="3371E33E" w14:textId="7AE5AECB" w:rsidR="007F7FF0" w:rsidRDefault="007F7FF0" w:rsidP="00E72F01">
      <w:pPr>
        <w:pStyle w:val="B"/>
        <w:ind w:left="870" w:firstLine="0"/>
        <w:rPr>
          <w:szCs w:val="24"/>
        </w:rPr>
      </w:pPr>
      <w:r w:rsidRPr="00E72F01">
        <w:rPr>
          <w:szCs w:val="24"/>
        </w:rPr>
        <w:t>Definíció: A Jogosult Szolgáltató által a Kötelezett Szolgáltató hálózatához csatlakoztatni kívánt elektronikus hírközlő berendezés megfelelőségének vizsgálata.</w:t>
      </w:r>
    </w:p>
    <w:p w14:paraId="0CC15A1D" w14:textId="77777777" w:rsidR="007F7FF0" w:rsidRDefault="007F7FF0" w:rsidP="00E72F01">
      <w:pPr>
        <w:pStyle w:val="B"/>
        <w:ind w:left="870" w:firstLine="0"/>
        <w:rPr>
          <w:szCs w:val="24"/>
        </w:rPr>
      </w:pPr>
    </w:p>
    <w:p w14:paraId="586FAB8A" w14:textId="4FA23EF9" w:rsidR="007F7FF0" w:rsidRDefault="007F7FF0" w:rsidP="00E72F01">
      <w:pPr>
        <w:pStyle w:val="B"/>
        <w:ind w:left="870" w:firstLine="0"/>
        <w:rPr>
          <w:szCs w:val="24"/>
        </w:rPr>
      </w:pPr>
      <w:r w:rsidRPr="00E72F01">
        <w:rPr>
          <w:szCs w:val="24"/>
        </w:rPr>
        <w:t>A berendezés alkalmassági vizsgálat keretében a Kötelezett Szolgáltató a Jogosult Szolgáltató által a Kötelezett Szolgáltató hálózatához csatlakoztatni kívánt elektronikus hírközlő berendezés megfelelőségének vizsgálatát végzi</w:t>
      </w:r>
      <w:r>
        <w:rPr>
          <w:szCs w:val="24"/>
        </w:rPr>
        <w:t xml:space="preserve"> vagy akkreditált labor közreműködésével végezteti</w:t>
      </w:r>
      <w:r w:rsidRPr="00E72F01">
        <w:rPr>
          <w:szCs w:val="24"/>
        </w:rPr>
        <w:t xml:space="preserve"> el. A berendezés alkalmassági vizsgálat </w:t>
      </w:r>
      <w:r>
        <w:rPr>
          <w:szCs w:val="24"/>
        </w:rPr>
        <w:t xml:space="preserve">azon </w:t>
      </w:r>
      <w:r w:rsidRPr="00E72F01">
        <w:rPr>
          <w:szCs w:val="24"/>
        </w:rPr>
        <w:t xml:space="preserve">szempontok </w:t>
      </w:r>
      <w:r>
        <w:rPr>
          <w:szCs w:val="24"/>
        </w:rPr>
        <w:t>ellenőrzésére</w:t>
      </w:r>
      <w:r w:rsidRPr="007F7FF0">
        <w:rPr>
          <w:szCs w:val="24"/>
        </w:rPr>
        <w:t xml:space="preserve"> terjed</w:t>
      </w:r>
      <w:r w:rsidRPr="00E72F01">
        <w:rPr>
          <w:szCs w:val="24"/>
        </w:rPr>
        <w:t xml:space="preserve"> ki, amelyeknek vizsgálatát az adott berendezés tervezett alkalmazási és telepítési körülményei indokolják. A berendezés megfelelőségéről – nem megfelelőség esetén a vizsgálatok eredményének részletes bemutatásával együtt – a Kötelezett Szolgáltató írásban tájékoztatja a Jogosult Szolgáltatót.</w:t>
      </w:r>
    </w:p>
    <w:p w14:paraId="1E56C79A" w14:textId="77777777" w:rsidR="00E72F01" w:rsidRDefault="00E72F01" w:rsidP="00E72F01">
      <w:pPr>
        <w:pStyle w:val="B"/>
        <w:ind w:left="870" w:firstLine="0"/>
        <w:rPr>
          <w:szCs w:val="24"/>
        </w:rPr>
      </w:pPr>
    </w:p>
    <w:p w14:paraId="734FE62F" w14:textId="12F83B1C" w:rsidR="007F7FF0" w:rsidRPr="00E72F01" w:rsidRDefault="007F7FF0" w:rsidP="00E72F01">
      <w:pPr>
        <w:pStyle w:val="B"/>
        <w:ind w:left="870" w:firstLine="0"/>
        <w:rPr>
          <w:szCs w:val="24"/>
        </w:rPr>
      </w:pPr>
      <w:r w:rsidRPr="00E72F01">
        <w:rPr>
          <w:szCs w:val="24"/>
        </w:rPr>
        <w:t>A berendezés alkalmassági vizsgálat nem indokolt abban az esetben, ha a Jogosult</w:t>
      </w:r>
    </w:p>
    <w:p w14:paraId="5B3E7B74" w14:textId="2F3385AC" w:rsidR="007F7FF0" w:rsidRPr="00E72F01" w:rsidRDefault="007F7FF0" w:rsidP="00E72F01">
      <w:pPr>
        <w:pStyle w:val="B"/>
        <w:ind w:left="870" w:firstLine="0"/>
        <w:rPr>
          <w:szCs w:val="24"/>
        </w:rPr>
      </w:pPr>
      <w:r w:rsidRPr="00E72F01">
        <w:rPr>
          <w:szCs w:val="24"/>
        </w:rPr>
        <w:t xml:space="preserve">Szolgáltató a Kötelezett Szolgáltatónál rendszeresített elektronikus hírközlő berendezésekkel </w:t>
      </w:r>
      <w:r>
        <w:rPr>
          <w:szCs w:val="24"/>
        </w:rPr>
        <w:t xml:space="preserve">mind típusában, mind pedig szoftver verziójában </w:t>
      </w:r>
      <w:r w:rsidRPr="00E72F01">
        <w:rPr>
          <w:szCs w:val="24"/>
        </w:rPr>
        <w:t>megegyező, vagy a Kötelezett Szolgáltató által korábban már vizsgált és alkalmasnak minősített típusú berendezést kíván alkalmazni. Ha a Jogosult Szolgáltató az adott vizsgálatot a Kötelezett Szolgáltató referenciaajánlatában, illetve a Jogosult Szolgáltató részére teljesített információszolgáltatásában meghatározott feltételeknek megfelelően előzetesen elvégezte vagy elvégeztette, és erről kijelölt (akkreditált) laboratóriumi minőségigazolással rendelkezik, akkor a berendezés alkalmassági vizsgálat elvégzése helyett eleg</w:t>
      </w:r>
      <w:r w:rsidR="00C6481F" w:rsidRPr="007533EF">
        <w:rPr>
          <w:szCs w:val="24"/>
        </w:rPr>
        <w:t xml:space="preserve">endő a vonatkozó tanúsítványok és </w:t>
      </w:r>
      <w:r w:rsidRPr="00E72F01">
        <w:rPr>
          <w:szCs w:val="24"/>
        </w:rPr>
        <w:t>a vizsgálati jegyzőkönyvek bemutatása a Kötelezett Szolgáltató részére.</w:t>
      </w:r>
    </w:p>
    <w:p w14:paraId="16AD1F19" w14:textId="77777777" w:rsidR="007F7FF0" w:rsidRPr="007F7FF0" w:rsidRDefault="007F7FF0" w:rsidP="00E72F01">
      <w:pPr>
        <w:pStyle w:val="B"/>
        <w:ind w:left="870" w:firstLine="0"/>
        <w:rPr>
          <w:szCs w:val="24"/>
        </w:rPr>
      </w:pPr>
    </w:p>
    <w:p w14:paraId="38F85CF6" w14:textId="55494BAA" w:rsidR="006C46BA" w:rsidRDefault="0073027D" w:rsidP="00E72F01">
      <w:pPr>
        <w:pStyle w:val="B"/>
        <w:numPr>
          <w:ilvl w:val="1"/>
          <w:numId w:val="48"/>
        </w:numPr>
      </w:pPr>
      <w:r w:rsidRPr="0073027D">
        <w:t>A Magyar Telekom hálózatához a referenciaajánlat hatálybalépésének időpontjában csatlakoztatható eszközöket a MARUO 1. számú függeléke tartalmazza.</w:t>
      </w:r>
      <w:r w:rsidR="00170150" w:rsidRPr="00170150">
        <w:t xml:space="preserve"> Az eszközök mindenkor aktuális listája, amely tartalmazza a Magyar Telekom hálózatában használt eszközöket, valamint a Kötelezett Szolgáltató által korábban már vizsgált és alkalmasnak minősített típusú eszközöket, a MARUO 1. számú függelékében megjelölt URL címen érhető el.</w:t>
      </w:r>
      <w:r w:rsidR="007533EF">
        <w:t xml:space="preserve"> GPON Előfizető Szakasz Teljes átengedése és HFC Előfizetői Szakasz Teljes Átengedése szolgáltatásoknál a </w:t>
      </w:r>
      <w:r w:rsidR="007533EF" w:rsidRPr="007533EF">
        <w:t>jogosult szolgáltató bármilyen</w:t>
      </w:r>
      <w:r w:rsidR="007533EF">
        <w:t>,</w:t>
      </w:r>
      <w:r w:rsidR="007533EF" w:rsidRPr="007533EF">
        <w:t xml:space="preserve"> a minden</w:t>
      </w:r>
      <w:r w:rsidR="007533EF">
        <w:t xml:space="preserve">kori szabványoknak megfelelő </w:t>
      </w:r>
      <w:r w:rsidR="007533EF" w:rsidRPr="007533EF">
        <w:t>berendezést használhat.</w:t>
      </w:r>
    </w:p>
    <w:p w14:paraId="38F85CF7" w14:textId="77777777" w:rsidR="006C46BA" w:rsidRDefault="006C46BA" w:rsidP="00E72F01">
      <w:pPr>
        <w:pStyle w:val="B"/>
        <w:ind w:left="851" w:firstLine="0"/>
      </w:pPr>
    </w:p>
    <w:p w14:paraId="38F85CF8" w14:textId="77777777" w:rsidR="006C46BA" w:rsidRDefault="006C46BA" w:rsidP="00E72F01">
      <w:pPr>
        <w:pStyle w:val="B"/>
        <w:ind w:left="851" w:firstLine="0"/>
      </w:pPr>
      <w:r>
        <w:t xml:space="preserve">Minden olyan a Magyar </w:t>
      </w:r>
      <w:r w:rsidR="003C3F8A">
        <w:t>T</w:t>
      </w:r>
      <w:r>
        <w:t xml:space="preserve">elekom hálózatához csatlakoztatni kívánt eszköz amely nem szerepel a fenti listában kizárólag a jelen melléklet szerinti ismeretlen berendezés megfelelőségi vizsgálat sikeres elvégzését követően, az erről szóló igazolás megléte esetén </w:t>
      </w:r>
      <w:r w:rsidR="00D701A7">
        <w:t>csatlakoztatható</w:t>
      </w:r>
      <w:r>
        <w:t xml:space="preserve"> a </w:t>
      </w:r>
      <w:r w:rsidR="003C3F8A">
        <w:t xml:space="preserve">Magyar </w:t>
      </w:r>
      <w:r>
        <w:t xml:space="preserve">Telekom hálózatához, </w:t>
      </w:r>
      <w:r w:rsidR="0046373F">
        <w:t xml:space="preserve">majd </w:t>
      </w:r>
      <w:r w:rsidR="001B4461">
        <w:t xml:space="preserve">a 6. számú melléklet szerinti sikeres próbaüzemet követően </w:t>
      </w:r>
      <w:r w:rsidR="0046373F">
        <w:t xml:space="preserve">kerülhet tényleges </w:t>
      </w:r>
      <w:r>
        <w:t>alkalmazásra.</w:t>
      </w:r>
    </w:p>
    <w:p w14:paraId="38F85CF9" w14:textId="77777777" w:rsidR="006C46BA" w:rsidRDefault="006C46BA" w:rsidP="00E72F01">
      <w:pPr>
        <w:pStyle w:val="B"/>
        <w:ind w:left="851" w:firstLine="0"/>
      </w:pPr>
    </w:p>
    <w:bookmarkEnd w:id="6"/>
    <w:p w14:paraId="38F85CFA" w14:textId="77777777" w:rsidR="00F05EB2" w:rsidRDefault="00F05EB2" w:rsidP="00E72F01">
      <w:pPr>
        <w:pStyle w:val="B"/>
        <w:ind w:left="851" w:firstLine="0"/>
      </w:pPr>
      <w:r>
        <w:lastRenderedPageBreak/>
        <w:t>Ha a Jogosult a Magyar Telekom hálózatához egy ott még nem alkalmazott berendezést kíván csatlakoztatni, ezt csak az alább leírt folyamat sikeres végrehajtása után teheti meg.</w:t>
      </w:r>
    </w:p>
    <w:p w14:paraId="38F85CFB" w14:textId="77777777" w:rsidR="00E212C2" w:rsidRDefault="00E212C2" w:rsidP="00E72F01">
      <w:pPr>
        <w:pStyle w:val="B"/>
        <w:ind w:left="851" w:firstLine="0"/>
      </w:pPr>
    </w:p>
    <w:p w14:paraId="38F85CFC" w14:textId="77777777" w:rsidR="00E212C2" w:rsidRDefault="00E212C2" w:rsidP="00E72F01">
      <w:pPr>
        <w:pStyle w:val="B"/>
        <w:ind w:left="851" w:firstLine="0"/>
      </w:pPr>
      <w:r>
        <w:t>A Magyar Telekom a hálózatában még nem alkalmazott eszközök, berendezések minősítését, a Helyi Hurok frekvenciatervére vonatkozó követelményeknek való megfelelését, a hatályos törvényi előírásoknak megfelelően és azzal összhangban, alapvetően a Jogosult által átadott, az 1.2 pontban részletezett minősítési szempontokhoz kapcsolódóan és a 2.1 pontban a)-tól l)-ig alpontjaiban megadott, a berendezésre vonatkozó dokumentumok, információk és paraméterek alapján végzi el.</w:t>
      </w:r>
    </w:p>
    <w:p w14:paraId="38F85CFD" w14:textId="77777777" w:rsidR="00E212C2" w:rsidRDefault="00E212C2" w:rsidP="00E72F01">
      <w:pPr>
        <w:pStyle w:val="B"/>
        <w:ind w:left="851" w:firstLine="0"/>
      </w:pPr>
    </w:p>
    <w:p w14:paraId="38F85CFE" w14:textId="77777777" w:rsidR="00E212C2" w:rsidRDefault="00E212C2" w:rsidP="00E72F01">
      <w:pPr>
        <w:pStyle w:val="B"/>
        <w:ind w:left="851" w:firstLine="0"/>
      </w:pPr>
      <w:r>
        <w:t xml:space="preserve">A dokumentumokból való minősítés abban áll, hogy a Jogosult által átadott dokumentumok tartalma kerül összevetésre </w:t>
      </w:r>
      <w:r w:rsidR="00376384">
        <w:t xml:space="preserve">Telekom által támasztott </w:t>
      </w:r>
      <w:r>
        <w:t>követelményekkel.</w:t>
      </w:r>
    </w:p>
    <w:p w14:paraId="38F85CFF" w14:textId="77777777" w:rsidR="002757F5" w:rsidRDefault="002757F5" w:rsidP="00E72F01">
      <w:pPr>
        <w:pStyle w:val="B"/>
        <w:ind w:left="851" w:firstLine="0"/>
      </w:pPr>
    </w:p>
    <w:p w14:paraId="1A9A8F63" w14:textId="77777777" w:rsidR="005F4918" w:rsidRDefault="002757F5" w:rsidP="00E72F01">
      <w:pPr>
        <w:pStyle w:val="B"/>
        <w:ind w:left="851" w:firstLine="0"/>
      </w:pPr>
      <w:r>
        <w:t xml:space="preserve">A Jogosult kérelmére a </w:t>
      </w:r>
      <w:r w:rsidR="0046264A">
        <w:t xml:space="preserve">Magyar Telekom elvégzi a </w:t>
      </w:r>
      <w:r w:rsidR="00FF455F">
        <w:t>„</w:t>
      </w:r>
      <w:r w:rsidR="00FF455F" w:rsidRPr="00FF455F">
        <w:t>Központ oldali Berendezés Alkalmassági Vizsgálat</w:t>
      </w:r>
      <w:r w:rsidR="00FF455F">
        <w:t>” és/vagy „</w:t>
      </w:r>
      <w:r w:rsidR="00FF455F" w:rsidRPr="0046264A">
        <w:t>Végberendezés (CPE) Alkalmassági Vizsgálat</w:t>
      </w:r>
      <w:r w:rsidR="00FF455F">
        <w:t>”</w:t>
      </w:r>
      <w:r w:rsidR="0046264A">
        <w:t>-ot</w:t>
      </w:r>
      <w:r>
        <w:t>.</w:t>
      </w:r>
    </w:p>
    <w:p w14:paraId="28680B8D" w14:textId="77777777" w:rsidR="005F4918" w:rsidRDefault="005F4918" w:rsidP="00E72F01">
      <w:pPr>
        <w:pStyle w:val="B"/>
        <w:ind w:left="851" w:firstLine="0"/>
      </w:pPr>
    </w:p>
    <w:p w14:paraId="688D9399" w14:textId="03D53712" w:rsidR="00B43C44" w:rsidRDefault="005851BB" w:rsidP="00E72F01">
      <w:pPr>
        <w:pStyle w:val="B"/>
        <w:ind w:left="851" w:firstLine="0"/>
      </w:pPr>
      <w:r>
        <w:t>Előfizető oldali végberendezés esetében a</w:t>
      </w:r>
      <w:r w:rsidR="005D36E4">
        <w:t xml:space="preserve"> mérőberendezések korlátos rendelkezésre</w:t>
      </w:r>
      <w:r w:rsidR="00E212C2">
        <w:t xml:space="preserve"> </w:t>
      </w:r>
      <w:r w:rsidR="005D36E4">
        <w:t>állása miatt a Telekom</w:t>
      </w:r>
      <w:r w:rsidR="00D677D2">
        <w:t xml:space="preserve"> évente </w:t>
      </w:r>
      <w:r w:rsidR="003673EC">
        <w:t xml:space="preserve">Jogosultanként </w:t>
      </w:r>
      <w:r w:rsidR="00D677D2">
        <w:t>2</w:t>
      </w:r>
      <w:r w:rsidR="00E212C2">
        <w:t xml:space="preserve"> </w:t>
      </w:r>
      <w:r w:rsidR="00D677D2">
        <w:t>db</w:t>
      </w:r>
      <w:r w:rsidR="003673EC">
        <w:t xml:space="preserve"> CPE</w:t>
      </w:r>
      <w:r w:rsidR="009900C2">
        <w:t xml:space="preserve"> típus (/firmware</w:t>
      </w:r>
      <w:r w:rsidR="00222A03">
        <w:t>)</w:t>
      </w:r>
      <w:r w:rsidR="001D5543">
        <w:t xml:space="preserve"> </w:t>
      </w:r>
      <w:r w:rsidR="0046264A" w:rsidRPr="0046264A">
        <w:t>Végberendezés (CPE) Alkalmassági Vizsgálat</w:t>
      </w:r>
      <w:r w:rsidR="0046264A">
        <w:t xml:space="preserve">át </w:t>
      </w:r>
      <w:r w:rsidR="00D677D2">
        <w:t>tud</w:t>
      </w:r>
      <w:r w:rsidR="00222A03">
        <w:t>ja</w:t>
      </w:r>
      <w:r w:rsidR="00D677D2">
        <w:t xml:space="preserve"> elvégezni.</w:t>
      </w:r>
      <w:r w:rsidR="00B43C44">
        <w:t xml:space="preserve"> Abban az esetben, ha a Jogosult a fenti kapacitáson túli további </w:t>
      </w:r>
      <w:r w:rsidR="005F4918">
        <w:t xml:space="preserve">Végberendezés (CPE) </w:t>
      </w:r>
      <w:r w:rsidR="00B43C44">
        <w:t>Alkalmassági Vizsgálatot kérelmez, úgy ezen vizsgálato</w:t>
      </w:r>
      <w:r w:rsidR="005F4918">
        <w:t xml:space="preserve">t </w:t>
      </w:r>
      <w:r w:rsidR="00B43C44" w:rsidRPr="00B43C44">
        <w:t xml:space="preserve">a Telekom kiválasztott akkreditált vizsgáló laboratórium közreműködésével </w:t>
      </w:r>
      <w:r w:rsidR="00B43C44">
        <w:t>végzi el</w:t>
      </w:r>
      <w:r w:rsidR="00B43C44" w:rsidRPr="00B43C44">
        <w:t>. Ezen akkreditált vizsgáló labor</w:t>
      </w:r>
      <w:r w:rsidR="005F4918">
        <w:t xml:space="preserve"> </w:t>
      </w:r>
      <w:r w:rsidR="00B43C44" w:rsidRPr="00B43C44">
        <w:t>által kiállított számlát, többlet költség nélkül, a Telekom tovább számlázza a Jogosult</w:t>
      </w:r>
      <w:r w:rsidR="005F4918">
        <w:t xml:space="preserve"> </w:t>
      </w:r>
      <w:r w:rsidR="00B43C44" w:rsidRPr="00B43C44">
        <w:t>részére</w:t>
      </w:r>
      <w:r w:rsidR="00B731FA">
        <w:t>.</w:t>
      </w:r>
    </w:p>
    <w:p w14:paraId="19CBA46F" w14:textId="6CCD4E20" w:rsidR="00B731FA" w:rsidRDefault="00B731FA" w:rsidP="00E72F01">
      <w:pPr>
        <w:pStyle w:val="B"/>
        <w:ind w:left="851" w:firstLine="0"/>
      </w:pPr>
    </w:p>
    <w:p w14:paraId="1B3B0CB3" w14:textId="760044AA" w:rsidR="00B731FA" w:rsidRDefault="00B731FA" w:rsidP="00E72F01">
      <w:pPr>
        <w:pStyle w:val="B"/>
        <w:ind w:left="851" w:firstLine="0"/>
      </w:pPr>
      <w:r>
        <w:t xml:space="preserve">Alternatívaként a Jogosult is elvégeztetheti </w:t>
      </w:r>
      <w:r w:rsidR="0030026B">
        <w:t>a Berendezés Alkalmassági Vizsgálatot.</w:t>
      </w:r>
    </w:p>
    <w:p w14:paraId="03571CA8" w14:textId="70110ECB" w:rsidR="005F4918" w:rsidRDefault="005F4918" w:rsidP="00E72F01">
      <w:pPr>
        <w:pStyle w:val="B"/>
        <w:ind w:left="851" w:firstLine="0"/>
      </w:pPr>
    </w:p>
    <w:p w14:paraId="59718385" w14:textId="2AE038B0" w:rsidR="005F4918" w:rsidRDefault="005F4918" w:rsidP="00E72F01">
      <w:pPr>
        <w:pStyle w:val="B"/>
        <w:ind w:left="851" w:firstLine="0"/>
      </w:pPr>
      <w:r>
        <w:t xml:space="preserve">Mind a Telekom, mind a Jogosult által elvégzett </w:t>
      </w:r>
      <w:r w:rsidR="00FD0353">
        <w:t xml:space="preserve">vagy elvégeztetett </w:t>
      </w:r>
      <w:r>
        <w:t>Végberendezés (CPE) Alkalmassági Vizsgálatot követően szükséges élő hálózat</w:t>
      </w:r>
      <w:r w:rsidR="00BF42EF">
        <w:t>i</w:t>
      </w:r>
      <w:r>
        <w:t xml:space="preserve"> Próbaüzem.</w:t>
      </w:r>
    </w:p>
    <w:p w14:paraId="38F85D01" w14:textId="77777777" w:rsidR="002757F5" w:rsidRDefault="002757F5" w:rsidP="00E72F01">
      <w:pPr>
        <w:pStyle w:val="B"/>
        <w:ind w:left="851" w:firstLine="0"/>
      </w:pPr>
    </w:p>
    <w:p w14:paraId="38F85D02" w14:textId="77777777" w:rsidR="00A33425" w:rsidRDefault="0046264A" w:rsidP="00E72F01">
      <w:pPr>
        <w:pStyle w:val="B"/>
        <w:ind w:left="851" w:firstLine="0"/>
      </w:pPr>
      <w:r>
        <w:t>A</w:t>
      </w:r>
      <w:r w:rsidR="00FF455F">
        <w:t xml:space="preserve"> „</w:t>
      </w:r>
      <w:r w:rsidR="00FF455F" w:rsidRPr="00FF455F">
        <w:t>Központ oldali Berendezés Alkalmassági Vizsgálat</w:t>
      </w:r>
      <w:r w:rsidR="00FF455F">
        <w:t>” és/vagy „</w:t>
      </w:r>
      <w:r w:rsidR="00FF455F" w:rsidRPr="0046264A">
        <w:t>Végberendezés (CPE) Alkalmassági Vizsgálat</w:t>
      </w:r>
      <w:r w:rsidR="00FF455F">
        <w:t>”</w:t>
      </w:r>
      <w:r>
        <w:t xml:space="preserve"> </w:t>
      </w:r>
      <w:r w:rsidR="0035258B">
        <w:t xml:space="preserve">elvégzéséhez </w:t>
      </w:r>
      <w:r w:rsidR="00106AE4">
        <w:t>a vizsgálandó berendezések átadása mellett</w:t>
      </w:r>
      <w:r w:rsidR="002757F5">
        <w:t xml:space="preserve"> </w:t>
      </w:r>
      <w:r w:rsidR="0035258B">
        <w:t>a</w:t>
      </w:r>
      <w:r w:rsidR="00981793">
        <w:t xml:space="preserve"> 2.1 pont a)-tól d)-ig </w:t>
      </w:r>
      <w:r w:rsidR="0035588A">
        <w:t>te</w:t>
      </w:r>
      <w:r w:rsidR="00981793">
        <w:t>rjedő</w:t>
      </w:r>
      <w:r w:rsidR="0035258B">
        <w:t xml:space="preserve"> </w:t>
      </w:r>
      <w:r w:rsidR="0035588A">
        <w:t>al</w:t>
      </w:r>
      <w:r w:rsidR="00981793">
        <w:t xml:space="preserve">pontjaiban szereplő </w:t>
      </w:r>
      <w:r w:rsidR="0035258B">
        <w:t>dokumentumok</w:t>
      </w:r>
      <w:r w:rsidR="0035588A">
        <w:t xml:space="preserve"> és információk </w:t>
      </w:r>
      <w:r w:rsidR="0035258B">
        <w:t xml:space="preserve">átadása </w:t>
      </w:r>
      <w:r w:rsidR="00981793">
        <w:t xml:space="preserve">továbbra </w:t>
      </w:r>
      <w:r w:rsidR="00106AE4">
        <w:t>is</w:t>
      </w:r>
      <w:r w:rsidR="002810C4">
        <w:t xml:space="preserve"> </w:t>
      </w:r>
      <w:r w:rsidR="00617141">
        <w:t xml:space="preserve">alapvetően </w:t>
      </w:r>
      <w:r w:rsidR="0035258B">
        <w:t>szükséges</w:t>
      </w:r>
      <w:r w:rsidR="00981793">
        <w:t>.</w:t>
      </w:r>
      <w:r w:rsidR="00222A03">
        <w:t xml:space="preserve"> Előfizető oldali végberendezés együttműködési </w:t>
      </w:r>
      <w:r w:rsidRPr="0046264A">
        <w:t>Végberendezés (CPE) Alkalmassági Vizsgálat</w:t>
      </w:r>
      <w:r w:rsidR="00222A03">
        <w:t>hoz típusonként</w:t>
      </w:r>
      <w:r w:rsidR="003B73F6">
        <w:t xml:space="preserve"> (firmware-rel</w:t>
      </w:r>
      <w:r w:rsidR="00222A03">
        <w:t xml:space="preserve">) </w:t>
      </w:r>
      <w:r w:rsidR="00850881">
        <w:t>3</w:t>
      </w:r>
      <w:r w:rsidR="00222A03">
        <w:t xml:space="preserve"> darab berendezés átadása szükséges.</w:t>
      </w:r>
    </w:p>
    <w:p w14:paraId="38F85D03" w14:textId="77777777" w:rsidR="002757F5" w:rsidRDefault="002757F5" w:rsidP="00E72F01">
      <w:pPr>
        <w:pStyle w:val="B"/>
        <w:ind w:left="851" w:firstLine="0"/>
      </w:pPr>
    </w:p>
    <w:p w14:paraId="38F85D04" w14:textId="77777777" w:rsidR="00617141" w:rsidRDefault="00617141" w:rsidP="00E72F01">
      <w:pPr>
        <w:pStyle w:val="B"/>
        <w:ind w:left="851" w:firstLine="0"/>
      </w:pPr>
      <w:r>
        <w:t>Jogosultnak a</w:t>
      </w:r>
      <w:r w:rsidR="00254565">
        <w:t xml:space="preserve"> központ oldali</w:t>
      </w:r>
      <w:r>
        <w:t xml:space="preserve"> vizsgálandó berendezéseit beüzemelt, mérhető állapotban kell a minősítésre átadnia.</w:t>
      </w:r>
    </w:p>
    <w:p w14:paraId="38F85D05" w14:textId="77777777" w:rsidR="002757F5" w:rsidRDefault="002757F5" w:rsidP="00E72F01">
      <w:pPr>
        <w:pStyle w:val="B"/>
        <w:ind w:left="851" w:firstLine="0"/>
      </w:pPr>
    </w:p>
    <w:p w14:paraId="38F85D06" w14:textId="164BE8EF" w:rsidR="007D08AF" w:rsidRDefault="00D916AC" w:rsidP="00E72F01">
      <w:pPr>
        <w:pStyle w:val="B"/>
        <w:ind w:left="851" w:firstLine="0"/>
      </w:pPr>
      <w:r>
        <w:t>A</w:t>
      </w:r>
      <w:r w:rsidR="00FF455F">
        <w:t xml:space="preserve"> „</w:t>
      </w:r>
      <w:r w:rsidR="00FF455F" w:rsidRPr="00FF455F">
        <w:t>Központ oldali Berendezés Alkalmassági Vizsgálat</w:t>
      </w:r>
      <w:r w:rsidR="00FF455F">
        <w:t>” és/vagy „</w:t>
      </w:r>
      <w:r w:rsidR="00FF455F" w:rsidRPr="0046264A">
        <w:t>Végberendezés (CPE) Alkalmassági Vizsgálat</w:t>
      </w:r>
      <w:r w:rsidR="00FF455F">
        <w:t>”</w:t>
      </w:r>
      <w:r w:rsidR="0046264A">
        <w:t xml:space="preserve"> </w:t>
      </w:r>
      <w:r>
        <w:t>keretében a 3. – 7. pontokban rögzített követelményeknek való megfelelés kerül ellenőrzésre.</w:t>
      </w:r>
      <w:r w:rsidR="009C09B9">
        <w:t xml:space="preserve"> </w:t>
      </w:r>
    </w:p>
    <w:p w14:paraId="7933D2BE" w14:textId="77777777" w:rsidR="00E72F01" w:rsidRDefault="00E72F01" w:rsidP="00E72F01">
      <w:pPr>
        <w:pStyle w:val="B"/>
        <w:ind w:left="851" w:firstLine="0"/>
      </w:pPr>
    </w:p>
    <w:p w14:paraId="38F85D07" w14:textId="2C001430" w:rsidR="00D916AC" w:rsidRDefault="007D08AF" w:rsidP="00E72F01">
      <w:pPr>
        <w:pStyle w:val="B"/>
        <w:ind w:left="851" w:firstLine="0"/>
      </w:pPr>
      <w:r>
        <w:lastRenderedPageBreak/>
        <w:t>Az e</w:t>
      </w:r>
      <w:r w:rsidR="009C09B9">
        <w:t xml:space="preserve">lőfizető oldali végberendezés együttműködési </w:t>
      </w:r>
      <w:r w:rsidR="0046264A" w:rsidRPr="0046264A">
        <w:t>Végberendezés (CPE) Alkalmassági Vizsgálat</w:t>
      </w:r>
      <w:r w:rsidR="0046264A">
        <w:t xml:space="preserve"> </w:t>
      </w:r>
      <w:r w:rsidR="009C09B9">
        <w:t>során a megadott műszaki követelményeknek való megfelelés kerül ellenőrzésre.</w:t>
      </w:r>
    </w:p>
    <w:p w14:paraId="1A13380D" w14:textId="5B27E2A1" w:rsidR="00E0614C" w:rsidRDefault="00E0614C" w:rsidP="00E72F01">
      <w:pPr>
        <w:pStyle w:val="B"/>
        <w:ind w:left="851" w:firstLine="0"/>
      </w:pPr>
    </w:p>
    <w:p w14:paraId="242E1681" w14:textId="539BE4AC" w:rsidR="00E0614C" w:rsidRDefault="00E0614C" w:rsidP="00E72F01">
      <w:pPr>
        <w:pStyle w:val="B"/>
        <w:ind w:left="851" w:firstLine="0"/>
      </w:pPr>
      <w:r w:rsidRPr="00E0614C">
        <w:t>A Berendezés Alkalmassági Vizsgálat keretében csak azok a vizsgálatok kerülnek elvégzésre, amelyeket az adott berendezés tervezett alkalmazási és telepítési körülményei indokolják.</w:t>
      </w:r>
    </w:p>
    <w:p w14:paraId="38F85D08" w14:textId="77777777" w:rsidR="00F05EB2" w:rsidRDefault="00F05EB2" w:rsidP="00E72F01">
      <w:pPr>
        <w:pStyle w:val="B"/>
        <w:ind w:left="851" w:firstLine="0"/>
      </w:pPr>
    </w:p>
    <w:p w14:paraId="38F85D09" w14:textId="118DFC25" w:rsidR="00F05EB2" w:rsidRDefault="00F05EB2" w:rsidP="00E72F01">
      <w:pPr>
        <w:pStyle w:val="B"/>
        <w:numPr>
          <w:ilvl w:val="1"/>
          <w:numId w:val="48"/>
        </w:numPr>
      </w:pPr>
      <w:r>
        <w:t xml:space="preserve">A Helyi Hurok Átengedése és Helymegosztás keretében </w:t>
      </w:r>
      <w:r w:rsidR="00AC0C93">
        <w:t xml:space="preserve">a berendezések minősítése </w:t>
      </w:r>
      <w:r>
        <w:t>az alábbi részekre terjed ki:</w:t>
      </w:r>
    </w:p>
    <w:p w14:paraId="38F85D0A" w14:textId="77777777" w:rsidR="00F05EB2" w:rsidRDefault="00F05EB2">
      <w:pPr>
        <w:pStyle w:val="C"/>
      </w:pPr>
    </w:p>
    <w:p w14:paraId="38F85D0B" w14:textId="77777777" w:rsidR="00F05EB2" w:rsidRDefault="00F05EB2">
      <w:pPr>
        <w:pStyle w:val="C"/>
      </w:pPr>
      <w:r>
        <w:rPr>
          <w:b/>
        </w:rPr>
        <w:t>a) </w:t>
      </w:r>
      <w:r>
        <w:t xml:space="preserve">távközlési </w:t>
      </w:r>
      <w:r w:rsidR="0035258B">
        <w:t>szempontú</w:t>
      </w:r>
      <w:r w:rsidR="00276558">
        <w:t xml:space="preserve"> </w:t>
      </w:r>
      <w:r>
        <w:t>minősítés;</w:t>
      </w:r>
    </w:p>
    <w:p w14:paraId="38F85D0C" w14:textId="77777777" w:rsidR="00F05EB2" w:rsidRDefault="00F05EB2">
      <w:pPr>
        <w:pStyle w:val="C"/>
      </w:pPr>
    </w:p>
    <w:p w14:paraId="38F85D0D" w14:textId="77777777" w:rsidR="00F05EB2" w:rsidRDefault="0035258B">
      <w:pPr>
        <w:pStyle w:val="C"/>
      </w:pPr>
      <w:r w:rsidRPr="00E72F01">
        <w:rPr>
          <w:b/>
        </w:rPr>
        <w:t>b)</w:t>
      </w:r>
      <w:r>
        <w:t xml:space="preserve"> EMC szempontú minősítés </w:t>
      </w:r>
    </w:p>
    <w:p w14:paraId="38F85D0E" w14:textId="77777777" w:rsidR="00F05EB2" w:rsidRDefault="00F05EB2">
      <w:pPr>
        <w:pStyle w:val="C"/>
      </w:pPr>
    </w:p>
    <w:p w14:paraId="38F85D0F" w14:textId="77777777" w:rsidR="00F05EB2" w:rsidRDefault="00F05EB2">
      <w:pPr>
        <w:pStyle w:val="C"/>
      </w:pPr>
      <w:r>
        <w:rPr>
          <w:b/>
        </w:rPr>
        <w:t>c) </w:t>
      </w:r>
      <w:r>
        <w:t xml:space="preserve">villamos biztonságtechnikai </w:t>
      </w:r>
      <w:r w:rsidR="0035258B">
        <w:t xml:space="preserve">szempontú </w:t>
      </w:r>
      <w:r>
        <w:t>minősítés;</w:t>
      </w:r>
    </w:p>
    <w:p w14:paraId="38F85D10" w14:textId="77777777" w:rsidR="00F05EB2" w:rsidRDefault="00F05EB2">
      <w:pPr>
        <w:pStyle w:val="C"/>
      </w:pPr>
    </w:p>
    <w:p w14:paraId="38F85D11" w14:textId="77777777" w:rsidR="00F05EB2" w:rsidRDefault="00F05EB2">
      <w:pPr>
        <w:pStyle w:val="C"/>
      </w:pPr>
      <w:r>
        <w:rPr>
          <w:b/>
        </w:rPr>
        <w:t>d) </w:t>
      </w:r>
      <w:r>
        <w:t xml:space="preserve">áramellátási </w:t>
      </w:r>
      <w:r w:rsidR="0035258B">
        <w:t xml:space="preserve">szempontú </w:t>
      </w:r>
      <w:r>
        <w:t>minősítés;</w:t>
      </w:r>
    </w:p>
    <w:p w14:paraId="38F85D12" w14:textId="77777777" w:rsidR="00F05EB2" w:rsidRDefault="00F05EB2">
      <w:pPr>
        <w:pStyle w:val="C"/>
      </w:pPr>
    </w:p>
    <w:p w14:paraId="38F85D13" w14:textId="77777777" w:rsidR="00F05EB2" w:rsidRDefault="00F05EB2">
      <w:pPr>
        <w:pStyle w:val="C"/>
      </w:pPr>
      <w:r>
        <w:rPr>
          <w:b/>
        </w:rPr>
        <w:t>e) </w:t>
      </w:r>
      <w:r w:rsidR="0035258B" w:rsidRPr="00E72F01">
        <w:t>telepítés</w:t>
      </w:r>
      <w:r w:rsidR="0035258B">
        <w:rPr>
          <w:b/>
        </w:rPr>
        <w:t xml:space="preserve"> </w:t>
      </w:r>
      <w:r>
        <w:t xml:space="preserve">technológiai </w:t>
      </w:r>
      <w:r w:rsidR="003C682E">
        <w:t>szempontú</w:t>
      </w:r>
      <w:r w:rsidR="00276558">
        <w:t xml:space="preserve"> </w:t>
      </w:r>
      <w:r>
        <w:t>minősítése;</w:t>
      </w:r>
    </w:p>
    <w:p w14:paraId="38F85D14" w14:textId="77777777" w:rsidR="00F05EB2" w:rsidRDefault="00F05EB2">
      <w:pPr>
        <w:pStyle w:val="C"/>
      </w:pPr>
    </w:p>
    <w:p w14:paraId="38F85D15" w14:textId="77777777" w:rsidR="00F05EB2" w:rsidRDefault="00F05EB2">
      <w:pPr>
        <w:pStyle w:val="C"/>
      </w:pPr>
      <w:r>
        <w:rPr>
          <w:b/>
        </w:rPr>
        <w:t>f) </w:t>
      </w:r>
      <w:r>
        <w:t xml:space="preserve">környezetvédelmi </w:t>
      </w:r>
      <w:r w:rsidR="00AC0C93">
        <w:t xml:space="preserve">és környezetállósági </w:t>
      </w:r>
      <w:r>
        <w:t>szempontú minősítés.</w:t>
      </w:r>
    </w:p>
    <w:p w14:paraId="38F85D16" w14:textId="77777777" w:rsidR="00F05EB2" w:rsidRDefault="00F05EB2">
      <w:pPr>
        <w:pStyle w:val="C"/>
      </w:pPr>
    </w:p>
    <w:p w14:paraId="38F85D17" w14:textId="06F4CCF7" w:rsidR="002757F5" w:rsidRDefault="002757F5" w:rsidP="00E72F01">
      <w:pPr>
        <w:pStyle w:val="B"/>
        <w:numPr>
          <w:ilvl w:val="1"/>
          <w:numId w:val="48"/>
        </w:numPr>
      </w:pPr>
      <w:bookmarkStart w:id="7" w:name="_Hlk507840337"/>
      <w:r>
        <w:t xml:space="preserve">A Közeli Bitfolyam Hozzáférés és </w:t>
      </w:r>
      <w:r w:rsidR="00A81C91">
        <w:t>Országos Bitfolyam Hozzáférés</w:t>
      </w:r>
      <w:r>
        <w:t xml:space="preserve"> keretében a berendezések minősítése az alábbi részekre terjed ki:</w:t>
      </w:r>
    </w:p>
    <w:bookmarkEnd w:id="7"/>
    <w:p w14:paraId="38F85D18" w14:textId="77777777" w:rsidR="002757F5" w:rsidRDefault="002757F5">
      <w:pPr>
        <w:pStyle w:val="C"/>
      </w:pPr>
    </w:p>
    <w:p w14:paraId="38F85D19" w14:textId="77777777" w:rsidR="002757F5" w:rsidRDefault="002757F5" w:rsidP="00B14744">
      <w:pPr>
        <w:pStyle w:val="C"/>
        <w:numPr>
          <w:ilvl w:val="0"/>
          <w:numId w:val="46"/>
        </w:numPr>
      </w:pPr>
      <w:r w:rsidRPr="00B14744">
        <w:t xml:space="preserve">központ oldali – hozzáférési linkhez kapcsolódó - berendezés </w:t>
      </w:r>
      <w:r w:rsidR="00F003F1">
        <w:t>1G</w:t>
      </w:r>
      <w:r w:rsidR="00D1087E">
        <w:t xml:space="preserve"> vagy 10G</w:t>
      </w:r>
      <w:r w:rsidR="00F003F1">
        <w:t xml:space="preserve"> interfészének </w:t>
      </w:r>
      <w:r w:rsidRPr="002757F5">
        <w:t>távközlési s</w:t>
      </w:r>
      <w:r>
        <w:t>zempontú minősítése, Telekom hálózatához való problémamentes illeszthetősége;</w:t>
      </w:r>
    </w:p>
    <w:p w14:paraId="38F85D1A" w14:textId="77777777" w:rsidR="002757F5" w:rsidRDefault="002757F5" w:rsidP="002757F5">
      <w:pPr>
        <w:pStyle w:val="C"/>
      </w:pPr>
    </w:p>
    <w:p w14:paraId="38F85D1B" w14:textId="77777777" w:rsidR="002757F5" w:rsidRPr="002757F5" w:rsidRDefault="002757F5" w:rsidP="00B14744">
      <w:pPr>
        <w:pStyle w:val="C"/>
        <w:numPr>
          <w:ilvl w:val="0"/>
          <w:numId w:val="46"/>
        </w:numPr>
      </w:pPr>
      <w:r w:rsidRPr="00B14744">
        <w:t xml:space="preserve">előfizető oldali </w:t>
      </w:r>
      <w:r w:rsidR="009A66FE">
        <w:t>vég</w:t>
      </w:r>
      <w:r w:rsidRPr="00B14744">
        <w:t xml:space="preserve">berendezés </w:t>
      </w:r>
      <w:r w:rsidRPr="002757F5">
        <w:t>távközlési szempontú minősítése, Telekom hálózatához való problémamentes illeszthetősége;</w:t>
      </w:r>
    </w:p>
    <w:p w14:paraId="38F85D1C" w14:textId="77777777" w:rsidR="002757F5" w:rsidRDefault="002757F5" w:rsidP="002757F5">
      <w:pPr>
        <w:pStyle w:val="C"/>
      </w:pPr>
    </w:p>
    <w:p w14:paraId="38F85D1D" w14:textId="77777777" w:rsidR="002757F5" w:rsidRDefault="002757F5" w:rsidP="00B14744">
      <w:pPr>
        <w:pStyle w:val="C"/>
        <w:numPr>
          <w:ilvl w:val="0"/>
          <w:numId w:val="46"/>
        </w:numPr>
      </w:pPr>
      <w:r>
        <w:t xml:space="preserve">EMC szempontú minősítés </w:t>
      </w:r>
    </w:p>
    <w:p w14:paraId="38F85D1E" w14:textId="77777777" w:rsidR="002757F5" w:rsidRDefault="002757F5" w:rsidP="002757F5">
      <w:pPr>
        <w:pStyle w:val="C"/>
      </w:pPr>
    </w:p>
    <w:p w14:paraId="38F85D1F" w14:textId="77777777" w:rsidR="002757F5" w:rsidRDefault="002757F5" w:rsidP="00B14744">
      <w:pPr>
        <w:pStyle w:val="C"/>
        <w:numPr>
          <w:ilvl w:val="0"/>
          <w:numId w:val="46"/>
        </w:numPr>
      </w:pPr>
      <w:r>
        <w:t xml:space="preserve">villamos biztonságtechnikai </w:t>
      </w:r>
      <w:r w:rsidR="009A66FE">
        <w:t xml:space="preserve">és optikai lézer </w:t>
      </w:r>
      <w:r>
        <w:t>szempontú minősítés;</w:t>
      </w:r>
    </w:p>
    <w:p w14:paraId="38F85D20" w14:textId="77777777" w:rsidR="002757F5" w:rsidRDefault="002757F5" w:rsidP="002757F5">
      <w:pPr>
        <w:pStyle w:val="C"/>
      </w:pPr>
    </w:p>
    <w:p w14:paraId="38F85D21" w14:textId="77777777" w:rsidR="002757F5" w:rsidRDefault="002757F5" w:rsidP="00B14744">
      <w:pPr>
        <w:pStyle w:val="C"/>
        <w:numPr>
          <w:ilvl w:val="0"/>
          <w:numId w:val="46"/>
        </w:numPr>
      </w:pPr>
      <w:bookmarkStart w:id="8" w:name="_GoBack"/>
      <w:bookmarkEnd w:id="8"/>
      <w:r>
        <w:t>áramellátási szempontú minősítés;</w:t>
      </w:r>
    </w:p>
    <w:p w14:paraId="38F85D22" w14:textId="77777777" w:rsidR="002757F5" w:rsidRDefault="002757F5" w:rsidP="002757F5">
      <w:pPr>
        <w:pStyle w:val="C"/>
      </w:pPr>
    </w:p>
    <w:p w14:paraId="38F85D23" w14:textId="77777777" w:rsidR="002757F5" w:rsidRPr="009A66FE" w:rsidRDefault="002757F5" w:rsidP="00B14744">
      <w:pPr>
        <w:pStyle w:val="C"/>
        <w:numPr>
          <w:ilvl w:val="0"/>
          <w:numId w:val="46"/>
        </w:numPr>
      </w:pPr>
      <w:r w:rsidRPr="00B14744">
        <w:t xml:space="preserve">telepítés </w:t>
      </w:r>
      <w:r w:rsidRPr="009A66FE">
        <w:t>technológiai szempontú minősítése;</w:t>
      </w:r>
    </w:p>
    <w:p w14:paraId="38F85D24" w14:textId="77777777" w:rsidR="002757F5" w:rsidRDefault="002757F5" w:rsidP="002757F5">
      <w:pPr>
        <w:pStyle w:val="C"/>
      </w:pPr>
    </w:p>
    <w:p w14:paraId="38F85D25" w14:textId="77777777" w:rsidR="002757F5" w:rsidRDefault="002757F5" w:rsidP="00B14744">
      <w:pPr>
        <w:pStyle w:val="C"/>
        <w:numPr>
          <w:ilvl w:val="0"/>
          <w:numId w:val="46"/>
        </w:numPr>
      </w:pPr>
      <w:r>
        <w:t>környezetvédelmi és környezetállósági szempontú minősíté</w:t>
      </w:r>
      <w:r w:rsidR="009A66FE">
        <w:t>s.</w:t>
      </w:r>
    </w:p>
    <w:p w14:paraId="38F85D26" w14:textId="77777777" w:rsidR="002757F5" w:rsidRDefault="002757F5">
      <w:pPr>
        <w:pStyle w:val="C"/>
      </w:pPr>
    </w:p>
    <w:p w14:paraId="7785B6A8" w14:textId="073AA988" w:rsidR="00A81C91" w:rsidRPr="00E72F01" w:rsidRDefault="00A81C91" w:rsidP="00E72F01">
      <w:pPr>
        <w:pStyle w:val="B"/>
        <w:numPr>
          <w:ilvl w:val="1"/>
          <w:numId w:val="48"/>
        </w:numPr>
      </w:pPr>
      <w:r w:rsidRPr="00E72F01">
        <w:t>GPON Előfozetői Szakasz Teljes Átengedése és HFC Előfozetői Szakasz Teljes Átengedése szolgáltatások esetére vonatkozó vizsgálatok</w:t>
      </w:r>
      <w:r w:rsidR="00CC7C65" w:rsidRPr="00E72F01">
        <w:t>:</w:t>
      </w:r>
    </w:p>
    <w:p w14:paraId="64F6F5F2" w14:textId="77777777" w:rsidR="00CC7C65" w:rsidRPr="00E72F01" w:rsidRDefault="00CC7C65" w:rsidP="00E72F01">
      <w:pPr>
        <w:pStyle w:val="C"/>
      </w:pPr>
    </w:p>
    <w:p w14:paraId="1E44207E" w14:textId="51EB71C4" w:rsidR="00CC7C65" w:rsidRDefault="00CC7C65" w:rsidP="00E72F01">
      <w:pPr>
        <w:pStyle w:val="B"/>
        <w:ind w:left="851" w:firstLine="0"/>
      </w:pPr>
      <w:r w:rsidRPr="00E72F01">
        <w:t>A Magyar Telekom a GPON Előfizetői Szakasz Teljes átengedése, valamint a HFC Előfizetői Szakasz Teljes Átengedése szolgáltatások esetében alkalmazott végberendezéseket nem vizsgálja. A Jogosult bármilyen, a mindenkori szabványoknak megfelelő végberendezést használhat.</w:t>
      </w:r>
    </w:p>
    <w:p w14:paraId="50784E95" w14:textId="77777777" w:rsidR="00E72F01" w:rsidRPr="00E72F01" w:rsidRDefault="00E72F01" w:rsidP="00E72F01">
      <w:pPr>
        <w:pStyle w:val="B"/>
        <w:ind w:left="851" w:firstLine="0"/>
      </w:pPr>
    </w:p>
    <w:p w14:paraId="38F85D36" w14:textId="4E6F303E" w:rsidR="002757F5" w:rsidRDefault="00CC7C65" w:rsidP="00E72F01">
      <w:pPr>
        <w:pStyle w:val="B"/>
        <w:ind w:left="851" w:firstLine="0"/>
      </w:pPr>
      <w:r w:rsidRPr="00E72F01">
        <w:t>A központ oldali eszközökre ugyanaz a szabály vonatkozik, mint az előfizetői oldali eszközökre, amennyiben az eszköz nem helymegosztás keretében (vagyis nem a Magyar Telekom épületében, létesítményében) kerül elhelyezésre. Amennyiben az eszköz helymegosztás keretében kerül elhelyezésre, akkor a berendezés alkalmassági vizsgálat a helymegosztás szempontjából való megfelelőség vizsgálatára terjed ki.</w:t>
      </w:r>
    </w:p>
    <w:p w14:paraId="38F85D37" w14:textId="77777777" w:rsidR="00F05EB2" w:rsidRDefault="00F05EB2">
      <w:pPr>
        <w:pStyle w:val="Cmsor2"/>
        <w:rPr>
          <w:color w:val="auto"/>
        </w:rPr>
      </w:pPr>
      <w:bookmarkStart w:id="9" w:name="_Toc188769840"/>
      <w:bookmarkStart w:id="10" w:name="_Toc188769956"/>
      <w:bookmarkStart w:id="11" w:name="_Toc117592364"/>
      <w:bookmarkStart w:id="12" w:name="_Toc531430089"/>
      <w:r>
        <w:rPr>
          <w:color w:val="auto"/>
        </w:rPr>
        <w:t>2. Általános követelmények</w:t>
      </w:r>
      <w:bookmarkEnd w:id="9"/>
      <w:bookmarkEnd w:id="10"/>
      <w:bookmarkEnd w:id="11"/>
      <w:bookmarkEnd w:id="12"/>
    </w:p>
    <w:p w14:paraId="38F85D38" w14:textId="77777777" w:rsidR="00F05EB2" w:rsidRDefault="00F05EB2">
      <w:pPr>
        <w:pStyle w:val="B"/>
      </w:pPr>
      <w:bookmarkStart w:id="13" w:name="_Toc38190143"/>
    </w:p>
    <w:p w14:paraId="38F85D39" w14:textId="77777777" w:rsidR="00F05EB2" w:rsidRDefault="00F05EB2">
      <w:pPr>
        <w:pStyle w:val="B"/>
      </w:pPr>
      <w:r>
        <w:rPr>
          <w:b/>
        </w:rPr>
        <w:t>2.</w:t>
      </w:r>
      <w:bookmarkEnd w:id="0"/>
      <w:r>
        <w:rPr>
          <w:b/>
        </w:rPr>
        <w:t>1 </w:t>
      </w:r>
      <w:bookmarkEnd w:id="13"/>
      <w:r>
        <w:t>A minősít</w:t>
      </w:r>
      <w:r w:rsidR="001127AE">
        <w:t>és</w:t>
      </w:r>
      <w:r>
        <w:t xml:space="preserve"> elvégzéséhez az alábbi </w:t>
      </w:r>
      <w:r w:rsidR="00981793">
        <w:t xml:space="preserve">dokumentumok, </w:t>
      </w:r>
      <w:r>
        <w:t>információk és paraméterek megadása szükséges:</w:t>
      </w:r>
    </w:p>
    <w:p w14:paraId="38F85D3A" w14:textId="77777777" w:rsidR="00F05EB2" w:rsidRDefault="00F05EB2">
      <w:pPr>
        <w:pStyle w:val="B"/>
      </w:pPr>
    </w:p>
    <w:p w14:paraId="38F85D3B" w14:textId="77777777" w:rsidR="00106AE4" w:rsidRDefault="00106AE4" w:rsidP="00981793">
      <w:pPr>
        <w:pStyle w:val="B"/>
        <w:numPr>
          <w:ilvl w:val="0"/>
          <w:numId w:val="42"/>
        </w:numPr>
      </w:pPr>
      <w:r>
        <w:t>Megfelelőségi nyilatkozat</w:t>
      </w:r>
    </w:p>
    <w:p w14:paraId="38F85D3C" w14:textId="77777777" w:rsidR="00981793" w:rsidRDefault="00981793" w:rsidP="00981793">
      <w:pPr>
        <w:pStyle w:val="B"/>
        <w:ind w:left="840" w:firstLine="0"/>
      </w:pPr>
    </w:p>
    <w:p w14:paraId="38F85D3D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 gyártó neve, az eszköz megnevezése és típusszáma.</w:t>
      </w:r>
    </w:p>
    <w:p w14:paraId="38F85D3E" w14:textId="77777777" w:rsidR="00F05EB2" w:rsidRDefault="00F05EB2">
      <w:pPr>
        <w:pStyle w:val="C"/>
        <w:ind w:left="993" w:hanging="142"/>
        <w:rPr>
          <w:color w:val="auto"/>
        </w:rPr>
      </w:pPr>
    </w:p>
    <w:p w14:paraId="38F85D3F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 xml:space="preserve">Konfiguráció – </w:t>
      </w:r>
      <w:r w:rsidR="00443BDC">
        <w:rPr>
          <w:color w:val="auto"/>
        </w:rPr>
        <w:t xml:space="preserve">pontos </w:t>
      </w:r>
      <w:r>
        <w:rPr>
          <w:color w:val="auto"/>
        </w:rPr>
        <w:t xml:space="preserve">hardver és </w:t>
      </w:r>
      <w:r w:rsidR="00443BDC">
        <w:rPr>
          <w:color w:val="auto"/>
        </w:rPr>
        <w:t xml:space="preserve">pontos </w:t>
      </w:r>
      <w:r>
        <w:rPr>
          <w:color w:val="auto"/>
        </w:rPr>
        <w:t xml:space="preserve">szoftver verzió -, illetve </w:t>
      </w:r>
      <w:r w:rsidR="00443BDC">
        <w:rPr>
          <w:color w:val="auto"/>
        </w:rPr>
        <w:t xml:space="preserve">központ oldali berendezés esetén </w:t>
      </w:r>
      <w:r>
        <w:rPr>
          <w:color w:val="auto"/>
        </w:rPr>
        <w:t>az alkalmazott kártyák megnevezése, típusjele, vagy típusszáma.</w:t>
      </w:r>
    </w:p>
    <w:p w14:paraId="38F85D40" w14:textId="77777777" w:rsidR="00F05EB2" w:rsidRDefault="00F05EB2">
      <w:pPr>
        <w:pStyle w:val="C"/>
        <w:rPr>
          <w:color w:val="auto"/>
        </w:rPr>
      </w:pPr>
    </w:p>
    <w:p w14:paraId="38F85D41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Gyártói dokumentum</w:t>
      </w:r>
      <w:r w:rsidR="00083AAF">
        <w:rPr>
          <w:color w:val="auto"/>
        </w:rPr>
        <w:t>ok</w:t>
      </w:r>
      <w:r>
        <w:rPr>
          <w:color w:val="auto"/>
        </w:rPr>
        <w:t xml:space="preserve"> (magyar vagy angol nyelvű).</w:t>
      </w:r>
    </w:p>
    <w:p w14:paraId="38F85D42" w14:textId="77777777" w:rsidR="00083AAF" w:rsidRPr="003A28F3" w:rsidRDefault="00083AAF">
      <w:pPr>
        <w:pStyle w:val="C"/>
        <w:rPr>
          <w:color w:val="auto"/>
        </w:rPr>
      </w:pPr>
      <w:r w:rsidRPr="003A28F3">
        <w:rPr>
          <w:color w:val="auto"/>
        </w:rPr>
        <w:tab/>
      </w:r>
      <w:r w:rsidRPr="003A28F3">
        <w:rPr>
          <w:color w:val="auto"/>
        </w:rPr>
        <w:tab/>
      </w:r>
      <w:r w:rsidRPr="003A28F3">
        <w:rPr>
          <w:color w:val="auto"/>
        </w:rPr>
        <w:tab/>
        <w:t>- Berendezés műszaki leírása és specifikációja (Hand Book)</w:t>
      </w:r>
    </w:p>
    <w:p w14:paraId="38F85D43" w14:textId="77777777" w:rsidR="00083AAF" w:rsidRPr="003A28F3" w:rsidRDefault="00083AAF">
      <w:pPr>
        <w:pStyle w:val="C"/>
        <w:rPr>
          <w:color w:val="auto"/>
        </w:rPr>
      </w:pPr>
      <w:r w:rsidRPr="003A28F3">
        <w:rPr>
          <w:color w:val="auto"/>
        </w:rPr>
        <w:tab/>
      </w:r>
      <w:r w:rsidRPr="003A28F3">
        <w:rPr>
          <w:color w:val="auto"/>
        </w:rPr>
        <w:tab/>
      </w:r>
      <w:r w:rsidRPr="003A28F3">
        <w:rPr>
          <w:color w:val="auto"/>
        </w:rPr>
        <w:tab/>
        <w:t xml:space="preserve">- Berendezés üzembe helyezési utasítása (Installation Manual) </w:t>
      </w:r>
    </w:p>
    <w:p w14:paraId="38F85D44" w14:textId="77777777" w:rsidR="00F05EB2" w:rsidRPr="003A28F3" w:rsidRDefault="00F05EB2">
      <w:pPr>
        <w:pStyle w:val="C"/>
        <w:ind w:left="993" w:hanging="142"/>
        <w:rPr>
          <w:color w:val="auto"/>
        </w:rPr>
      </w:pPr>
    </w:p>
    <w:p w14:paraId="38F85D45" w14:textId="77777777" w:rsidR="00F05EB2" w:rsidRDefault="00083AAF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 berendezés</w:t>
      </w:r>
      <w:r w:rsidR="0035588A">
        <w:rPr>
          <w:color w:val="auto"/>
        </w:rPr>
        <w:t xml:space="preserve"> 1.</w:t>
      </w:r>
      <w:r w:rsidR="003E4DBF">
        <w:rPr>
          <w:color w:val="auto"/>
        </w:rPr>
        <w:t>2</w:t>
      </w:r>
      <w:r w:rsidR="0035588A">
        <w:rPr>
          <w:color w:val="auto"/>
        </w:rPr>
        <w:t xml:space="preserve"> pont</w:t>
      </w:r>
      <w:r w:rsidR="002810C4">
        <w:rPr>
          <w:color w:val="auto"/>
        </w:rPr>
        <w:t>ban</w:t>
      </w:r>
      <w:r w:rsidR="0035588A">
        <w:rPr>
          <w:color w:val="auto"/>
        </w:rPr>
        <w:t xml:space="preserve"> rögzített, de a 3. – 7. pontokban részletezett minősítések elvégzéséhez szükséges </w:t>
      </w:r>
      <w:r>
        <w:rPr>
          <w:color w:val="auto"/>
        </w:rPr>
        <w:t>független laboratóriumi, vagy gyártói, vagy a Jogosult által elvégzett</w:t>
      </w:r>
      <w:r w:rsidR="00F05EB2">
        <w:rPr>
          <w:color w:val="auto"/>
        </w:rPr>
        <w:t xml:space="preserve"> mérési </w:t>
      </w:r>
      <w:r w:rsidR="0035588A">
        <w:rPr>
          <w:color w:val="auto"/>
        </w:rPr>
        <w:t xml:space="preserve">jegyzőkönyvek </w:t>
      </w:r>
      <w:r w:rsidR="00F05EB2">
        <w:rPr>
          <w:color w:val="auto"/>
        </w:rPr>
        <w:t>(magyar vagy angol nyelvű).</w:t>
      </w:r>
    </w:p>
    <w:p w14:paraId="38F85D46" w14:textId="77777777" w:rsidR="00F05EB2" w:rsidRDefault="00F05EB2">
      <w:pPr>
        <w:pStyle w:val="C"/>
        <w:rPr>
          <w:color w:val="auto"/>
        </w:rPr>
      </w:pPr>
    </w:p>
    <w:p w14:paraId="38F85D47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Az eszköz mérete és tömege.</w:t>
      </w:r>
    </w:p>
    <w:p w14:paraId="38F85D48" w14:textId="77777777" w:rsidR="00F05EB2" w:rsidRDefault="00F05EB2">
      <w:pPr>
        <w:pStyle w:val="C"/>
        <w:rPr>
          <w:color w:val="auto"/>
        </w:rPr>
      </w:pPr>
    </w:p>
    <w:p w14:paraId="38F85D49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Az eszköz tápfeszültség és teljesítmény igénye.</w:t>
      </w:r>
    </w:p>
    <w:p w14:paraId="38F85D4A" w14:textId="77777777" w:rsidR="00F05EB2" w:rsidRDefault="00F05EB2">
      <w:pPr>
        <w:pStyle w:val="C"/>
        <w:rPr>
          <w:color w:val="auto"/>
        </w:rPr>
      </w:pPr>
    </w:p>
    <w:p w14:paraId="38F85D4B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 gyártó által meghatározott, a tartós üzemeltetésre vonatkozó, környezeti hőmérséklet és páratartalom határértékei, az esetleges korlátozásokra vonatkozó információkkal együtt.</w:t>
      </w:r>
    </w:p>
    <w:p w14:paraId="38F85D4C" w14:textId="77777777" w:rsidR="00F05EB2" w:rsidRDefault="00F05EB2">
      <w:pPr>
        <w:pStyle w:val="C"/>
        <w:rPr>
          <w:color w:val="auto"/>
        </w:rPr>
      </w:pPr>
    </w:p>
    <w:p w14:paraId="38F85D4D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 maximális kiépítettségre vonatkozó teljesítmény disszipáció értéke.</w:t>
      </w:r>
    </w:p>
    <w:p w14:paraId="38F85D4E" w14:textId="77777777" w:rsidR="00F05EB2" w:rsidRDefault="00F05EB2">
      <w:pPr>
        <w:pStyle w:val="C"/>
        <w:rPr>
          <w:color w:val="auto"/>
        </w:rPr>
      </w:pPr>
    </w:p>
    <w:p w14:paraId="38F85D4F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Az eszköznél alkalmazott hűtési megoldás, az esetleges korlátozásokkal.</w:t>
      </w:r>
    </w:p>
    <w:p w14:paraId="38F85D50" w14:textId="77777777" w:rsidR="00F05EB2" w:rsidRDefault="00F05EB2">
      <w:pPr>
        <w:pStyle w:val="C"/>
        <w:rPr>
          <w:color w:val="auto"/>
        </w:rPr>
      </w:pPr>
    </w:p>
    <w:p w14:paraId="38F85D51" w14:textId="77777777" w:rsidR="00F05EB2" w:rsidRDefault="00F05EB2" w:rsidP="00443BDC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Az MSZ EN 60950 szerint az eszköz és az üzemszerűen hozzá alkalmazott kiegészítők, szerelvények, tartozékok éghetőségi fokozata.</w:t>
      </w:r>
    </w:p>
    <w:p w14:paraId="38F85D52" w14:textId="77777777" w:rsidR="00F05EB2" w:rsidRDefault="00F05EB2">
      <w:pPr>
        <w:pStyle w:val="C"/>
        <w:rPr>
          <w:color w:val="auto"/>
        </w:rPr>
      </w:pPr>
    </w:p>
    <w:p w14:paraId="38F85D53" w14:textId="77777777" w:rsidR="00F05EB2" w:rsidRDefault="00F05EB2" w:rsidP="0009618D">
      <w:pPr>
        <w:pStyle w:val="C"/>
        <w:numPr>
          <w:ilvl w:val="0"/>
          <w:numId w:val="42"/>
        </w:numPr>
        <w:rPr>
          <w:color w:val="auto"/>
        </w:rPr>
      </w:pPr>
      <w:r>
        <w:rPr>
          <w:color w:val="auto"/>
        </w:rPr>
        <w:t>Az eszköz érintésvédelmi és villamos biztonságtechnikai kialakítása.</w:t>
      </w:r>
    </w:p>
    <w:p w14:paraId="38F85D54" w14:textId="77777777" w:rsidR="00F05EB2" w:rsidRDefault="00F05EB2">
      <w:pPr>
        <w:pStyle w:val="Cmsor2"/>
        <w:rPr>
          <w:color w:val="auto"/>
        </w:rPr>
      </w:pPr>
      <w:bookmarkStart w:id="14" w:name="_Toc188769841"/>
      <w:bookmarkStart w:id="15" w:name="_Toc188769957"/>
      <w:bookmarkStart w:id="16" w:name="_Toc117592365"/>
      <w:bookmarkStart w:id="17" w:name="_Toc531430090"/>
      <w:r>
        <w:rPr>
          <w:color w:val="auto"/>
        </w:rPr>
        <w:t xml:space="preserve">3. Távközlési </w:t>
      </w:r>
      <w:r w:rsidR="003C682E">
        <w:rPr>
          <w:color w:val="auto"/>
        </w:rPr>
        <w:t>szempontú</w:t>
      </w:r>
      <w:r>
        <w:rPr>
          <w:color w:val="auto"/>
        </w:rPr>
        <w:t xml:space="preserve"> minősítés</w:t>
      </w:r>
      <w:bookmarkEnd w:id="14"/>
      <w:bookmarkEnd w:id="15"/>
      <w:bookmarkEnd w:id="16"/>
      <w:bookmarkEnd w:id="17"/>
    </w:p>
    <w:p w14:paraId="38F85D55" w14:textId="77777777" w:rsidR="00F05EB2" w:rsidRDefault="00F05EB2">
      <w:pPr>
        <w:pStyle w:val="A"/>
      </w:pPr>
      <w:r>
        <w:br/>
        <w:t>A Jogosult által alkalmazni kívánt, a Magyar Telekom hálózatához csatlakoztatandó, illetve a közös kábelben üzemelő</w:t>
      </w:r>
      <w:r w:rsidR="00416436">
        <w:t xml:space="preserve"> központ- és előfizető oldali</w:t>
      </w:r>
      <w:r>
        <w:t xml:space="preserve"> berendezés(ek)nek meg kell </w:t>
      </w:r>
      <w:r>
        <w:lastRenderedPageBreak/>
        <w:t>felelni(ük) a telepítéskor hatályos szabványoknak</w:t>
      </w:r>
      <w:r w:rsidR="000535AD">
        <w:t xml:space="preserve">, a </w:t>
      </w:r>
      <w:r w:rsidR="00FE5663">
        <w:t>végberendezésre (</w:t>
      </w:r>
      <w:r w:rsidR="000535AD">
        <w:t>CPE</w:t>
      </w:r>
      <w:r w:rsidR="00FE5663">
        <w:t xml:space="preserve">) </w:t>
      </w:r>
      <w:r w:rsidR="000535AD">
        <w:t>vonatkozó megadott műszaki követelményeknek</w:t>
      </w:r>
      <w:r>
        <w:t>, valamint a</w:t>
      </w:r>
      <w:r w:rsidR="00867397">
        <w:t xml:space="preserve"> 4.B mellékletben részletezett</w:t>
      </w:r>
      <w:r>
        <w:t xml:space="preserve"> ITU és ETS ajánlásoknak az alábbi paraméterekben:</w:t>
      </w:r>
    </w:p>
    <w:p w14:paraId="38F85D56" w14:textId="77777777" w:rsidR="00F05EB2" w:rsidRDefault="00F05EB2">
      <w:pPr>
        <w:pStyle w:val="B"/>
      </w:pPr>
    </w:p>
    <w:p w14:paraId="38F85D57" w14:textId="77777777" w:rsidR="00F05EB2" w:rsidRDefault="00F05EB2">
      <w:pPr>
        <w:pStyle w:val="B"/>
      </w:pPr>
      <w:r>
        <w:rPr>
          <w:b/>
        </w:rPr>
        <w:t>3.1 </w:t>
      </w:r>
      <w:r>
        <w:t>Helyi Hurok Teljes Átengedés esetén Spektrum elrendezés (teljesítmény – frekvencia maszk);</w:t>
      </w:r>
    </w:p>
    <w:p w14:paraId="38F85D58" w14:textId="77777777" w:rsidR="00F05EB2" w:rsidRDefault="00F05EB2">
      <w:pPr>
        <w:pStyle w:val="B"/>
        <w:rPr>
          <w:b/>
        </w:rPr>
      </w:pPr>
    </w:p>
    <w:p w14:paraId="38F85D59" w14:textId="77777777" w:rsidR="00F05EB2" w:rsidRDefault="00F05EB2">
      <w:pPr>
        <w:pStyle w:val="B"/>
      </w:pPr>
      <w:r>
        <w:rPr>
          <w:b/>
        </w:rPr>
        <w:t>3.2 </w:t>
      </w:r>
      <w:r>
        <w:t>Helyi Hurok Részleges Átengedés esetén</w:t>
      </w:r>
    </w:p>
    <w:p w14:paraId="38F85D5A" w14:textId="77777777" w:rsidR="00F05EB2" w:rsidRDefault="00F05EB2">
      <w:pPr>
        <w:pStyle w:val="C"/>
        <w:rPr>
          <w:color w:val="auto"/>
        </w:rPr>
      </w:pPr>
    </w:p>
    <w:p w14:paraId="38F85D5B" w14:textId="77777777" w:rsidR="00F05EB2" w:rsidRDefault="00F05EB2">
      <w:pPr>
        <w:pStyle w:val="C"/>
        <w:rPr>
          <w:color w:val="auto"/>
        </w:rPr>
      </w:pPr>
      <w:r>
        <w:rPr>
          <w:b/>
          <w:color w:val="auto"/>
        </w:rPr>
        <w:t>a) </w:t>
      </w:r>
      <w:r>
        <w:rPr>
          <w:color w:val="auto"/>
        </w:rPr>
        <w:t>Spektrum elrendezés (teljesítmény – frekvencia maszk)</w:t>
      </w:r>
    </w:p>
    <w:p w14:paraId="38F85D5C" w14:textId="77777777" w:rsidR="00F05EB2" w:rsidRDefault="00F05EB2">
      <w:pPr>
        <w:pStyle w:val="C"/>
        <w:rPr>
          <w:color w:val="auto"/>
        </w:rPr>
      </w:pPr>
    </w:p>
    <w:p w14:paraId="38F85D5D" w14:textId="77777777" w:rsidR="00F05EB2" w:rsidRDefault="00F05EB2">
      <w:pPr>
        <w:pStyle w:val="C"/>
        <w:rPr>
          <w:color w:val="auto"/>
        </w:rPr>
      </w:pPr>
      <w:r>
        <w:rPr>
          <w:b/>
          <w:color w:val="auto"/>
        </w:rPr>
        <w:t>b) </w:t>
      </w:r>
      <w:r>
        <w:rPr>
          <w:color w:val="auto"/>
        </w:rPr>
        <w:t>Interfész jellemzők (Jelalak)</w:t>
      </w:r>
    </w:p>
    <w:p w14:paraId="38F85D5E" w14:textId="77777777" w:rsidR="00F05EB2" w:rsidRDefault="00F05EB2">
      <w:pPr>
        <w:pStyle w:val="D"/>
        <w:rPr>
          <w:color w:val="auto"/>
        </w:rPr>
      </w:pPr>
    </w:p>
    <w:p w14:paraId="38F85D5F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I)</w:t>
      </w:r>
      <w:r>
        <w:rPr>
          <w:color w:val="auto"/>
        </w:rPr>
        <w:t> Szint;</w:t>
      </w:r>
    </w:p>
    <w:p w14:paraId="38F85D60" w14:textId="77777777" w:rsidR="00F05EB2" w:rsidRDefault="00F05EB2">
      <w:pPr>
        <w:pStyle w:val="D"/>
        <w:rPr>
          <w:color w:val="auto"/>
        </w:rPr>
      </w:pPr>
    </w:p>
    <w:p w14:paraId="38F85D61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II)</w:t>
      </w:r>
      <w:r>
        <w:rPr>
          <w:color w:val="auto"/>
        </w:rPr>
        <w:t> Impedancia;</w:t>
      </w:r>
    </w:p>
    <w:p w14:paraId="38F85D62" w14:textId="77777777" w:rsidR="00F05EB2" w:rsidRDefault="00F05EB2">
      <w:pPr>
        <w:pStyle w:val="D"/>
        <w:rPr>
          <w:color w:val="auto"/>
        </w:rPr>
      </w:pPr>
    </w:p>
    <w:p w14:paraId="38F85D63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III)</w:t>
      </w:r>
      <w:r>
        <w:rPr>
          <w:color w:val="auto"/>
        </w:rPr>
        <w:t> Reflexió;</w:t>
      </w:r>
    </w:p>
    <w:p w14:paraId="38F85D64" w14:textId="77777777" w:rsidR="00F05EB2" w:rsidRDefault="00F05EB2">
      <w:pPr>
        <w:pStyle w:val="C"/>
        <w:rPr>
          <w:color w:val="auto"/>
        </w:rPr>
      </w:pPr>
    </w:p>
    <w:p w14:paraId="38F85D65" w14:textId="77777777" w:rsidR="00F05EB2" w:rsidRDefault="00F05EB2">
      <w:pPr>
        <w:pStyle w:val="C"/>
        <w:rPr>
          <w:color w:val="auto"/>
        </w:rPr>
      </w:pPr>
      <w:r>
        <w:rPr>
          <w:b/>
          <w:color w:val="auto"/>
        </w:rPr>
        <w:t>c) </w:t>
      </w:r>
      <w:r>
        <w:rPr>
          <w:color w:val="auto"/>
        </w:rPr>
        <w:t>Elválasztó szűrő jellemzők</w:t>
      </w:r>
    </w:p>
    <w:p w14:paraId="38F85D66" w14:textId="77777777" w:rsidR="00F05EB2" w:rsidRDefault="00F05EB2">
      <w:pPr>
        <w:pStyle w:val="D"/>
        <w:rPr>
          <w:color w:val="auto"/>
        </w:rPr>
      </w:pPr>
    </w:p>
    <w:p w14:paraId="38F85D67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I)</w:t>
      </w:r>
      <w:r>
        <w:rPr>
          <w:color w:val="auto"/>
        </w:rPr>
        <w:t> áteresztő/zárósáv csilapítás-frekvencia karakterisztikája</w:t>
      </w:r>
    </w:p>
    <w:p w14:paraId="38F85D68" w14:textId="77777777" w:rsidR="00F05EB2" w:rsidRDefault="00F05EB2">
      <w:pPr>
        <w:pStyle w:val="D"/>
        <w:rPr>
          <w:color w:val="auto"/>
        </w:rPr>
      </w:pPr>
    </w:p>
    <w:p w14:paraId="38F85D69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II)</w:t>
      </w:r>
      <w:r>
        <w:rPr>
          <w:color w:val="auto"/>
        </w:rPr>
        <w:t> bemenő impedancia,(mindhárom kapura)</w:t>
      </w:r>
    </w:p>
    <w:p w14:paraId="38F85D6A" w14:textId="77777777" w:rsidR="00F05EB2" w:rsidRDefault="00F05EB2">
      <w:pPr>
        <w:pStyle w:val="D"/>
        <w:rPr>
          <w:color w:val="auto"/>
        </w:rPr>
      </w:pPr>
    </w:p>
    <w:p w14:paraId="38F85D6B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III)</w:t>
      </w:r>
      <w:r>
        <w:rPr>
          <w:color w:val="auto"/>
        </w:rPr>
        <w:t> reflexiós csillapítás,(mindhárom kapura)</w:t>
      </w:r>
    </w:p>
    <w:p w14:paraId="38F85D6C" w14:textId="77777777" w:rsidR="00F05EB2" w:rsidRDefault="00F05EB2">
      <w:pPr>
        <w:pStyle w:val="D"/>
        <w:rPr>
          <w:color w:val="auto"/>
        </w:rPr>
      </w:pPr>
    </w:p>
    <w:p w14:paraId="38F85D6D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IV)</w:t>
      </w:r>
      <w:r>
        <w:rPr>
          <w:color w:val="auto"/>
        </w:rPr>
        <w:t> csoportfutásidő torzítás az áteresztő sávban</w:t>
      </w:r>
    </w:p>
    <w:p w14:paraId="38F85D6E" w14:textId="77777777" w:rsidR="00F05EB2" w:rsidRDefault="00F05EB2">
      <w:pPr>
        <w:pStyle w:val="D"/>
        <w:rPr>
          <w:color w:val="auto"/>
        </w:rPr>
      </w:pPr>
    </w:p>
    <w:p w14:paraId="38F85D6F" w14:textId="77777777" w:rsidR="00F05EB2" w:rsidRDefault="00F05EB2">
      <w:pPr>
        <w:pStyle w:val="D"/>
        <w:rPr>
          <w:color w:val="auto"/>
        </w:rPr>
      </w:pPr>
      <w:r>
        <w:rPr>
          <w:b/>
          <w:color w:val="auto"/>
        </w:rPr>
        <w:t>V)</w:t>
      </w:r>
      <w:r>
        <w:rPr>
          <w:color w:val="auto"/>
        </w:rPr>
        <w:t> szimmetria csillapítás.</w:t>
      </w:r>
    </w:p>
    <w:p w14:paraId="38F85D70" w14:textId="77777777" w:rsidR="00867397" w:rsidRDefault="00867397">
      <w:pPr>
        <w:pStyle w:val="A"/>
      </w:pPr>
    </w:p>
    <w:p w14:paraId="38F85D71" w14:textId="77777777" w:rsidR="00317C61" w:rsidRDefault="00781C37" w:rsidP="00E72F01">
      <w:pPr>
        <w:pStyle w:val="B"/>
        <w:ind w:left="851" w:firstLine="0"/>
      </w:pPr>
      <w:r>
        <w:t>Rezes hurok átengedése esetén a Jogosult részére igény szerint a Magyar Telekom is megadja az általa használt elválasztó szűrőkre vonatkozó minden lényeges információt.</w:t>
      </w:r>
    </w:p>
    <w:p w14:paraId="38F85D72" w14:textId="77777777" w:rsidR="00867397" w:rsidRDefault="00867397" w:rsidP="00317C61">
      <w:pPr>
        <w:pStyle w:val="B"/>
        <w:rPr>
          <w:b/>
        </w:rPr>
      </w:pPr>
    </w:p>
    <w:p w14:paraId="38F85D73" w14:textId="77777777" w:rsidR="00317C61" w:rsidRDefault="00317C61" w:rsidP="00317C61">
      <w:pPr>
        <w:pStyle w:val="B"/>
      </w:pPr>
      <w:r>
        <w:rPr>
          <w:b/>
        </w:rPr>
        <w:t>3.3</w:t>
      </w:r>
      <w:r w:rsidR="00786E2A">
        <w:t xml:space="preserve">Közeli Bitfolyam Hozzáférés </w:t>
      </w:r>
      <w:r>
        <w:t>esetén</w:t>
      </w:r>
    </w:p>
    <w:p w14:paraId="38F85D74" w14:textId="77777777" w:rsidR="00317C61" w:rsidRDefault="00317C61">
      <w:pPr>
        <w:pStyle w:val="A"/>
      </w:pPr>
    </w:p>
    <w:p w14:paraId="38F85D75" w14:textId="77777777" w:rsidR="00786E2A" w:rsidRDefault="00786E2A" w:rsidP="00786E2A">
      <w:pPr>
        <w:pStyle w:val="C"/>
        <w:rPr>
          <w:color w:val="auto"/>
        </w:rPr>
      </w:pPr>
      <w:r>
        <w:rPr>
          <w:b/>
          <w:color w:val="auto"/>
        </w:rPr>
        <w:t>a) </w:t>
      </w:r>
      <w:r w:rsidR="00DF56DD">
        <w:rPr>
          <w:b/>
          <w:color w:val="auto"/>
        </w:rPr>
        <w:t xml:space="preserve">A </w:t>
      </w:r>
      <w:r w:rsidR="00646492" w:rsidRPr="00236490">
        <w:t xml:space="preserve">központ oldali – hozzáférési linkhez kapcsolódó </w:t>
      </w:r>
      <w:r w:rsidR="00E3082A">
        <w:t>–</w:t>
      </w:r>
      <w:r w:rsidR="00646492" w:rsidRPr="00236490">
        <w:t xml:space="preserve"> berendezés</w:t>
      </w:r>
      <w:r w:rsidR="00E3082A">
        <w:t xml:space="preserve"> 1G</w:t>
      </w:r>
      <w:r w:rsidR="00D1087E">
        <w:t xml:space="preserve"> vagy 10G</w:t>
      </w:r>
      <w:r w:rsidR="00E3082A">
        <w:t xml:space="preserve"> interfészének</w:t>
      </w:r>
      <w:r w:rsidR="00646492" w:rsidRPr="00236490">
        <w:t xml:space="preserve"> </w:t>
      </w:r>
      <w:r w:rsidR="00646492" w:rsidRPr="002757F5">
        <w:t>távközlési s</w:t>
      </w:r>
      <w:r w:rsidR="00646492">
        <w:t>zempontú minősítése, Telekom hálózatához való problémamentes illeszthetősége</w:t>
      </w:r>
      <w:r w:rsidR="00E3082A">
        <w:t>.</w:t>
      </w:r>
      <w:r>
        <w:rPr>
          <w:color w:val="auto"/>
        </w:rPr>
        <w:t xml:space="preserve"> </w:t>
      </w:r>
    </w:p>
    <w:p w14:paraId="38F85D76" w14:textId="77777777" w:rsidR="00786E2A" w:rsidRDefault="00786E2A" w:rsidP="00786E2A">
      <w:pPr>
        <w:pStyle w:val="C"/>
        <w:rPr>
          <w:color w:val="auto"/>
        </w:rPr>
      </w:pPr>
    </w:p>
    <w:p w14:paraId="38F85D77" w14:textId="77777777" w:rsidR="00786E2A" w:rsidRDefault="00786E2A" w:rsidP="00786E2A">
      <w:pPr>
        <w:pStyle w:val="C"/>
        <w:rPr>
          <w:color w:val="auto"/>
        </w:rPr>
      </w:pPr>
      <w:r>
        <w:rPr>
          <w:b/>
          <w:color w:val="auto"/>
        </w:rPr>
        <w:t>b) </w:t>
      </w:r>
      <w:r w:rsidR="005F32DC">
        <w:t>Az e</w:t>
      </w:r>
      <w:r w:rsidR="00781C37">
        <w:t>lő</w:t>
      </w:r>
      <w:r w:rsidR="00850136">
        <w:t>fizető oldali végberendezéseknél</w:t>
      </w:r>
      <w:r w:rsidR="00781C37">
        <w:t xml:space="preserve"> (CPE) megadott műszaki követelményeknek</w:t>
      </w:r>
      <w:r w:rsidR="00850136">
        <w:t xml:space="preserve"> való megfelelés</w:t>
      </w:r>
      <w:r w:rsidR="00781C37">
        <w:t>.</w:t>
      </w:r>
    </w:p>
    <w:p w14:paraId="38F85D78" w14:textId="77777777" w:rsidR="00786E2A" w:rsidRDefault="00786E2A">
      <w:pPr>
        <w:pStyle w:val="A"/>
      </w:pPr>
    </w:p>
    <w:p w14:paraId="38F85D79" w14:textId="77777777" w:rsidR="00786E2A" w:rsidRDefault="00786E2A" w:rsidP="00786E2A">
      <w:pPr>
        <w:pStyle w:val="B"/>
      </w:pPr>
      <w:r>
        <w:rPr>
          <w:b/>
        </w:rPr>
        <w:t>3.3</w:t>
      </w:r>
      <w:r>
        <w:t>Országos Bitfolyam Hozzáférés esetén</w:t>
      </w:r>
    </w:p>
    <w:p w14:paraId="38F85D7A" w14:textId="77777777" w:rsidR="00786E2A" w:rsidRDefault="00786E2A" w:rsidP="00786E2A">
      <w:pPr>
        <w:pStyle w:val="A"/>
      </w:pPr>
    </w:p>
    <w:p w14:paraId="38F85D7B" w14:textId="77777777" w:rsidR="00786E2A" w:rsidRDefault="00786E2A" w:rsidP="00786E2A">
      <w:pPr>
        <w:pStyle w:val="C"/>
        <w:rPr>
          <w:color w:val="auto"/>
        </w:rPr>
      </w:pPr>
      <w:r>
        <w:rPr>
          <w:b/>
          <w:color w:val="auto"/>
        </w:rPr>
        <w:t>a) </w:t>
      </w:r>
      <w:r w:rsidR="00E3082A">
        <w:rPr>
          <w:b/>
          <w:color w:val="auto"/>
        </w:rPr>
        <w:t xml:space="preserve">A </w:t>
      </w:r>
      <w:r w:rsidR="00E3082A" w:rsidRPr="00236490">
        <w:t xml:space="preserve">központ oldali – hozzáférési linkhez kapcsolódó </w:t>
      </w:r>
      <w:r w:rsidR="00E3082A">
        <w:t>–</w:t>
      </w:r>
      <w:r w:rsidR="00E3082A" w:rsidRPr="00236490">
        <w:t xml:space="preserve"> berendezés</w:t>
      </w:r>
      <w:r w:rsidR="00E3082A">
        <w:t xml:space="preserve"> 1G</w:t>
      </w:r>
      <w:r w:rsidR="00D1087E">
        <w:t xml:space="preserve"> vagy 10G</w:t>
      </w:r>
      <w:r w:rsidR="00E3082A">
        <w:t xml:space="preserve"> interfészének</w:t>
      </w:r>
      <w:r w:rsidR="00E3082A" w:rsidRPr="00236490">
        <w:t xml:space="preserve"> </w:t>
      </w:r>
      <w:r w:rsidR="00E3082A" w:rsidRPr="002757F5">
        <w:t>távközlési s</w:t>
      </w:r>
      <w:r w:rsidR="00E3082A">
        <w:t>zempontú minősítése, Telekom hálózatához való problémamentes illeszthetősége.</w:t>
      </w:r>
      <w:r>
        <w:rPr>
          <w:color w:val="auto"/>
        </w:rPr>
        <w:t xml:space="preserve"> </w:t>
      </w:r>
    </w:p>
    <w:p w14:paraId="38F85D7C" w14:textId="77777777" w:rsidR="00786E2A" w:rsidRDefault="00786E2A" w:rsidP="00786E2A">
      <w:pPr>
        <w:pStyle w:val="C"/>
        <w:rPr>
          <w:color w:val="auto"/>
        </w:rPr>
      </w:pPr>
    </w:p>
    <w:p w14:paraId="38F85D7D" w14:textId="77777777" w:rsidR="00786E2A" w:rsidRDefault="00786E2A" w:rsidP="00786E2A">
      <w:pPr>
        <w:pStyle w:val="C"/>
        <w:rPr>
          <w:color w:val="auto"/>
        </w:rPr>
      </w:pPr>
      <w:r>
        <w:rPr>
          <w:b/>
          <w:color w:val="auto"/>
        </w:rPr>
        <w:lastRenderedPageBreak/>
        <w:t>b) </w:t>
      </w:r>
      <w:r w:rsidR="00850136">
        <w:t>Az előfizető oldali végberendezéseknél (CPE) megadott műszaki követelményeknek való megfelelés</w:t>
      </w:r>
      <w:r w:rsidR="00850136">
        <w:rPr>
          <w:color w:val="auto"/>
        </w:rPr>
        <w:t>.</w:t>
      </w:r>
    </w:p>
    <w:p w14:paraId="38F85D7E" w14:textId="77777777" w:rsidR="00786E2A" w:rsidRDefault="00786E2A">
      <w:pPr>
        <w:pStyle w:val="A"/>
      </w:pPr>
    </w:p>
    <w:p w14:paraId="38F85D7F" w14:textId="77777777" w:rsidR="00F05EB2" w:rsidRDefault="00F05EB2" w:rsidP="00E72F01">
      <w:pPr>
        <w:pStyle w:val="B"/>
        <w:ind w:left="851" w:firstLine="0"/>
      </w:pPr>
      <w:r>
        <w:t>A Jogosultnak az egyes paraméterek megfelelőségét igazoló nyilatkozatot kell benyújtania a Magyar Telekom számára.</w:t>
      </w:r>
    </w:p>
    <w:p w14:paraId="38F85D80" w14:textId="77777777" w:rsidR="00F05EB2" w:rsidRDefault="00F05EB2">
      <w:pPr>
        <w:pStyle w:val="A"/>
      </w:pPr>
    </w:p>
    <w:p w14:paraId="38F85D81" w14:textId="77777777" w:rsidR="00F05EB2" w:rsidRDefault="00F05EB2">
      <w:pPr>
        <w:pStyle w:val="Cmsor2"/>
        <w:rPr>
          <w:color w:val="auto"/>
        </w:rPr>
      </w:pPr>
      <w:bookmarkStart w:id="18" w:name="_Toc188769842"/>
      <w:bookmarkStart w:id="19" w:name="_Toc188769958"/>
      <w:bookmarkStart w:id="20" w:name="_Toc117592366"/>
      <w:bookmarkStart w:id="21" w:name="_Toc531430091"/>
      <w:r>
        <w:rPr>
          <w:color w:val="auto"/>
        </w:rPr>
        <w:t>4. EMC</w:t>
      </w:r>
      <w:r w:rsidR="003C682E">
        <w:rPr>
          <w:color w:val="auto"/>
        </w:rPr>
        <w:t xml:space="preserve"> szempontú </w:t>
      </w:r>
      <w:r>
        <w:rPr>
          <w:color w:val="auto"/>
        </w:rPr>
        <w:t>minősítés</w:t>
      </w:r>
      <w:bookmarkEnd w:id="18"/>
      <w:bookmarkEnd w:id="19"/>
      <w:bookmarkEnd w:id="20"/>
      <w:bookmarkEnd w:id="21"/>
    </w:p>
    <w:p w14:paraId="38F85D82" w14:textId="77777777" w:rsidR="00F05EB2" w:rsidRDefault="00F05EB2">
      <w:pPr>
        <w:pStyle w:val="A"/>
      </w:pPr>
      <w:r>
        <w:br/>
        <w:t xml:space="preserve">A Jogosult által alkalmazni kívánt </w:t>
      </w:r>
      <w:r w:rsidR="00374C00">
        <w:t xml:space="preserve">központ oldali </w:t>
      </w:r>
      <w:r>
        <w:t>berendezés(ek)nek meg kell felelni(ük) a</w:t>
      </w:r>
      <w:r w:rsidR="00F63506">
        <w:t xml:space="preserve"> </w:t>
      </w:r>
      <w:r w:rsidR="004202DD">
        <w:t>62/2006. (VIII.30)</w:t>
      </w:r>
      <w:r>
        <w:t xml:space="preserve"> G</w:t>
      </w:r>
      <w:r w:rsidR="004202DD">
        <w:t>K</w:t>
      </w:r>
      <w:r>
        <w:t>M rendeletben előírtaknak, a hatályos MSZ EN 300 386 szabványnak: A főbb paraméterek a következők:</w:t>
      </w:r>
    </w:p>
    <w:p w14:paraId="38F85D83" w14:textId="77777777" w:rsidR="00F05EB2" w:rsidRDefault="00F05EB2">
      <w:pPr>
        <w:pStyle w:val="Cmsor3"/>
        <w:rPr>
          <w:color w:val="auto"/>
        </w:rPr>
      </w:pPr>
      <w:bookmarkStart w:id="22" w:name="_Toc188769843"/>
      <w:bookmarkStart w:id="23" w:name="_Toc188769959"/>
      <w:bookmarkStart w:id="24" w:name="_Toc117592367"/>
      <w:bookmarkStart w:id="25" w:name="_Toc531430092"/>
      <w:r>
        <w:rPr>
          <w:color w:val="auto"/>
        </w:rPr>
        <w:t>4.1 Elektromágneses zavarás</w:t>
      </w:r>
      <w:bookmarkEnd w:id="22"/>
      <w:bookmarkEnd w:id="23"/>
      <w:bookmarkEnd w:id="24"/>
      <w:bookmarkEnd w:id="25"/>
    </w:p>
    <w:p w14:paraId="38F85D84" w14:textId="77777777" w:rsidR="00F05EB2" w:rsidRDefault="00F05EB2">
      <w:pPr>
        <w:pStyle w:val="Cmsor4"/>
        <w:rPr>
          <w:color w:val="auto"/>
        </w:rPr>
      </w:pPr>
      <w:bookmarkStart w:id="26" w:name="_Toc188769960"/>
      <w:bookmarkStart w:id="27" w:name="_Toc117592368"/>
      <w:bookmarkStart w:id="28" w:name="_Toc531430093"/>
      <w:r>
        <w:rPr>
          <w:color w:val="auto"/>
        </w:rPr>
        <w:t>4.1.1 Vezetett zavarás</w:t>
      </w:r>
      <w:bookmarkEnd w:id="26"/>
      <w:bookmarkEnd w:id="27"/>
      <w:bookmarkEnd w:id="28"/>
    </w:p>
    <w:p w14:paraId="38F85D85" w14:textId="77777777" w:rsidR="00F05EB2" w:rsidRDefault="00F05EB2">
      <w:pPr>
        <w:pStyle w:val="C"/>
        <w:rPr>
          <w:color w:val="auto"/>
        </w:rPr>
      </w:pPr>
      <w:r>
        <w:br/>
      </w:r>
      <w:r>
        <w:rPr>
          <w:color w:val="auto"/>
        </w:rPr>
        <w:t>A vezetett zavarásnak teljesítenie kell az MSZ EN 55022 „B” osztályú (quasi-peak) előírásait</w:t>
      </w:r>
    </w:p>
    <w:p w14:paraId="38F85D86" w14:textId="77777777" w:rsidR="00F05EB2" w:rsidRDefault="00F05EB2">
      <w:pPr>
        <w:pStyle w:val="D"/>
        <w:rPr>
          <w:color w:val="auto"/>
        </w:rPr>
      </w:pPr>
    </w:p>
    <w:p w14:paraId="38F85D87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 xml:space="preserve">Frekvenciasáv </w:t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>
        <w:rPr>
          <w:color w:val="auto"/>
        </w:rPr>
        <w:t>Határérték</w:t>
      </w:r>
    </w:p>
    <w:p w14:paraId="38F85D88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>0,15….0,5 MHz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66-56 dB</w:t>
      </w:r>
      <w:r>
        <w:rPr>
          <w:color w:val="auto"/>
        </w:rPr>
        <w:sym w:font="Symbol" w:char="F06D"/>
      </w:r>
      <w:r>
        <w:rPr>
          <w:color w:val="auto"/>
        </w:rPr>
        <w:t>V</w:t>
      </w:r>
    </w:p>
    <w:p w14:paraId="38F85D89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>0,5…...5,0 MHz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56 dB</w:t>
      </w:r>
      <w:r>
        <w:rPr>
          <w:color w:val="auto"/>
        </w:rPr>
        <w:sym w:font="Symbol" w:char="F06D"/>
      </w:r>
      <w:r>
        <w:rPr>
          <w:color w:val="auto"/>
        </w:rPr>
        <w:t>V</w:t>
      </w:r>
    </w:p>
    <w:p w14:paraId="38F85D8A" w14:textId="77777777" w:rsidR="00F05EB2" w:rsidRDefault="00F05EB2" w:rsidP="00DC1A26">
      <w:pPr>
        <w:pStyle w:val="D"/>
        <w:ind w:left="1276" w:firstLine="0"/>
        <w:rPr>
          <w:color w:val="auto"/>
        </w:rPr>
      </w:pPr>
      <w:r>
        <w:rPr>
          <w:color w:val="auto"/>
        </w:rPr>
        <w:t>5,0……30 MHz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60 dB</w:t>
      </w:r>
      <w:r>
        <w:rPr>
          <w:color w:val="auto"/>
        </w:rPr>
        <w:sym w:font="Symbol" w:char="F06D"/>
      </w:r>
      <w:r>
        <w:rPr>
          <w:color w:val="auto"/>
        </w:rPr>
        <w:t>V</w:t>
      </w:r>
      <w:bookmarkStart w:id="29" w:name="_Toc188769961"/>
      <w:bookmarkStart w:id="30" w:name="_Toc117592369"/>
      <w:r>
        <w:rPr>
          <w:color w:val="auto"/>
        </w:rPr>
        <w:t>4.1.2 Kisugárzott zavarás</w:t>
      </w:r>
      <w:bookmarkEnd w:id="29"/>
      <w:bookmarkEnd w:id="30"/>
    </w:p>
    <w:p w14:paraId="38F85D8B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>A kisugárzott zavarásnak teljesítenie kell az MSZ EN 55022 “B” osztályú (quasi-peak) előírásait</w:t>
      </w:r>
      <w:r>
        <w:rPr>
          <w:color w:val="auto"/>
        </w:rPr>
        <w:tab/>
      </w:r>
      <w:r>
        <w:rPr>
          <w:color w:val="auto"/>
        </w:rPr>
        <w:br/>
        <w:t xml:space="preserve">(Mérési távolság </w:t>
      </w:r>
      <w:smartTag w:uri="urn:schemas-microsoft-com:office:smarttags" w:element="metricconverter">
        <w:smartTagPr>
          <w:attr w:name="ProductID" w:val="3 m"/>
        </w:smartTagPr>
        <w:r>
          <w:rPr>
            <w:color w:val="auto"/>
          </w:rPr>
          <w:t>3 m</w:t>
        </w:r>
      </w:smartTag>
      <w:r>
        <w:rPr>
          <w:color w:val="auto"/>
        </w:rPr>
        <w:t xml:space="preserve"> vagy </w:t>
      </w:r>
      <w:smartTag w:uri="urn:schemas-microsoft-com:office:smarttags" w:element="metricconverter">
        <w:smartTagPr>
          <w:attr w:name="ProductID" w:val="10 m"/>
        </w:smartTagPr>
        <w:r>
          <w:rPr>
            <w:color w:val="auto"/>
          </w:rPr>
          <w:t>10 m</w:t>
        </w:r>
      </w:smartTag>
      <w:r>
        <w:rPr>
          <w:color w:val="auto"/>
        </w:rPr>
        <w:t>)</w:t>
      </w:r>
    </w:p>
    <w:p w14:paraId="38F85D8C" w14:textId="77777777" w:rsidR="00F05EB2" w:rsidRDefault="00F05EB2">
      <w:pPr>
        <w:pStyle w:val="C"/>
        <w:rPr>
          <w:color w:val="auto"/>
        </w:rPr>
      </w:pPr>
    </w:p>
    <w:p w14:paraId="38F85D8D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 xml:space="preserve">Frekvenciasáv </w:t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>
        <w:rPr>
          <w:color w:val="auto"/>
        </w:rPr>
        <w:t>Határérték D=3 m</w:t>
      </w:r>
      <w:r>
        <w:rPr>
          <w:color w:val="auto"/>
        </w:rPr>
        <w:tab/>
      </w:r>
      <w:r w:rsidR="008C25BD">
        <w:rPr>
          <w:color w:val="auto"/>
        </w:rPr>
        <w:tab/>
      </w:r>
      <w:r>
        <w:rPr>
          <w:color w:val="auto"/>
        </w:rPr>
        <w:t>Határérték D=10 m</w:t>
      </w:r>
    </w:p>
    <w:p w14:paraId="38F85D8E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>30 MHz…230 MHz</w:t>
      </w:r>
      <w:r>
        <w:rPr>
          <w:color w:val="auto"/>
        </w:rPr>
        <w:tab/>
      </w:r>
      <w:r>
        <w:rPr>
          <w:color w:val="auto"/>
        </w:rPr>
        <w:tab/>
        <w:t>40 dB</w:t>
      </w:r>
      <w:r>
        <w:rPr>
          <w:color w:val="auto"/>
        </w:rPr>
        <w:sym w:font="Symbol" w:char="F06D"/>
      </w:r>
      <w:r>
        <w:rPr>
          <w:color w:val="auto"/>
        </w:rPr>
        <w:t>V/m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30 dB</w:t>
      </w:r>
      <w:r>
        <w:rPr>
          <w:color w:val="auto"/>
        </w:rPr>
        <w:sym w:font="Symbol" w:char="F06D"/>
      </w:r>
      <w:r>
        <w:rPr>
          <w:color w:val="auto"/>
        </w:rPr>
        <w:t>V/m</w:t>
      </w:r>
    </w:p>
    <w:p w14:paraId="38F85D8F" w14:textId="77777777" w:rsidR="00F05EB2" w:rsidRDefault="00F05EB2">
      <w:pPr>
        <w:pStyle w:val="D"/>
        <w:ind w:left="1276" w:firstLine="0"/>
        <w:rPr>
          <w:color w:val="auto"/>
        </w:rPr>
      </w:pPr>
      <w:r>
        <w:rPr>
          <w:color w:val="auto"/>
        </w:rPr>
        <w:t>230 MHz…1000 MHz</w:t>
      </w:r>
      <w:r>
        <w:rPr>
          <w:color w:val="auto"/>
        </w:rPr>
        <w:tab/>
      </w:r>
      <w:r>
        <w:rPr>
          <w:color w:val="auto"/>
        </w:rPr>
        <w:tab/>
        <w:t>47 dB</w:t>
      </w:r>
      <w:r>
        <w:rPr>
          <w:color w:val="auto"/>
        </w:rPr>
        <w:sym w:font="Symbol" w:char="F06D"/>
      </w:r>
      <w:r>
        <w:rPr>
          <w:color w:val="auto"/>
        </w:rPr>
        <w:t>V/m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37 dB</w:t>
      </w:r>
      <w:r>
        <w:rPr>
          <w:color w:val="auto"/>
        </w:rPr>
        <w:sym w:font="Symbol" w:char="F06D"/>
      </w:r>
      <w:r>
        <w:rPr>
          <w:color w:val="auto"/>
        </w:rPr>
        <w:t>V/m</w:t>
      </w:r>
    </w:p>
    <w:p w14:paraId="38F85D90" w14:textId="77777777" w:rsidR="00F05EB2" w:rsidRDefault="00F05EB2">
      <w:pPr>
        <w:pStyle w:val="Cmsor3"/>
        <w:rPr>
          <w:b w:val="0"/>
          <w:color w:val="auto"/>
        </w:rPr>
      </w:pPr>
      <w:bookmarkStart w:id="31" w:name="_Toc188769844"/>
      <w:bookmarkStart w:id="32" w:name="_Toc188769962"/>
      <w:bookmarkStart w:id="33" w:name="_Toc117592370"/>
      <w:bookmarkStart w:id="34" w:name="_Toc531430094"/>
      <w:r>
        <w:rPr>
          <w:color w:val="auto"/>
        </w:rPr>
        <w:t>4.2 Elektromágneses zavartűrés</w:t>
      </w:r>
      <w:bookmarkEnd w:id="31"/>
      <w:bookmarkEnd w:id="32"/>
      <w:bookmarkEnd w:id="33"/>
      <w:bookmarkEnd w:id="34"/>
    </w:p>
    <w:p w14:paraId="38F85D91" w14:textId="77777777" w:rsidR="00F05EB2" w:rsidRDefault="00F05EB2">
      <w:pPr>
        <w:pStyle w:val="Cmsor4"/>
        <w:rPr>
          <w:color w:val="auto"/>
        </w:rPr>
      </w:pPr>
      <w:bookmarkStart w:id="35" w:name="_Toc188769963"/>
      <w:bookmarkStart w:id="36" w:name="_Toc117592371"/>
      <w:bookmarkStart w:id="37" w:name="_Toc531430095"/>
      <w:r>
        <w:rPr>
          <w:color w:val="auto"/>
        </w:rPr>
        <w:t>4.2.1 Vezetett zavartűrés</w:t>
      </w:r>
      <w:bookmarkEnd w:id="35"/>
      <w:bookmarkEnd w:id="36"/>
      <w:bookmarkEnd w:id="37"/>
    </w:p>
    <w:p w14:paraId="38F85D92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>A vezetett zavartűrésnek meg kell felelni az MSZ EN 61000-4-6 előírásoknak.</w:t>
      </w:r>
    </w:p>
    <w:p w14:paraId="38F85D93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 xml:space="preserve">Frekvenciasáv </w:t>
      </w:r>
      <w:r w:rsidR="00236ACA">
        <w:rPr>
          <w:color w:val="auto"/>
        </w:rPr>
        <w:tab/>
      </w:r>
      <w:r w:rsidR="00236ACA">
        <w:rPr>
          <w:color w:val="auto"/>
        </w:rPr>
        <w:tab/>
      </w:r>
      <w:r w:rsidR="00236ACA">
        <w:rPr>
          <w:color w:val="auto"/>
        </w:rPr>
        <w:tab/>
      </w:r>
      <w:r>
        <w:rPr>
          <w:color w:val="auto"/>
        </w:rPr>
        <w:t>Vizsgáló szint</w:t>
      </w:r>
      <w:r>
        <w:rPr>
          <w:color w:val="auto"/>
        </w:rPr>
        <w:tab/>
      </w:r>
      <w:r>
        <w:rPr>
          <w:color w:val="auto"/>
        </w:rPr>
        <w:br/>
        <w:t>150 kHz….80 MHz</w:t>
      </w:r>
      <w:r>
        <w:rPr>
          <w:color w:val="auto"/>
        </w:rPr>
        <w:tab/>
      </w:r>
      <w:r>
        <w:rPr>
          <w:color w:val="auto"/>
        </w:rPr>
        <w:tab/>
        <w:t xml:space="preserve"> 3 Veff</w:t>
      </w:r>
    </w:p>
    <w:p w14:paraId="38F85D94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>Vizsgálójel amplitúdó modulált, 1 kHz-es szinuszos jel (m=80%).</w:t>
      </w:r>
    </w:p>
    <w:p w14:paraId="38F85D95" w14:textId="77777777" w:rsidR="00F05EB2" w:rsidRDefault="00F05EB2">
      <w:pPr>
        <w:pStyle w:val="Cmsor4"/>
        <w:rPr>
          <w:color w:val="auto"/>
        </w:rPr>
      </w:pPr>
      <w:bookmarkStart w:id="38" w:name="_Toc188769964"/>
      <w:bookmarkStart w:id="39" w:name="_Toc117592372"/>
      <w:bookmarkStart w:id="40" w:name="_Toc531430096"/>
      <w:r>
        <w:rPr>
          <w:color w:val="auto"/>
        </w:rPr>
        <w:t>4.2.2 Sugárzott zavartűrés</w:t>
      </w:r>
      <w:bookmarkEnd w:id="38"/>
      <w:bookmarkEnd w:id="39"/>
      <w:bookmarkEnd w:id="40"/>
    </w:p>
    <w:p w14:paraId="38F85D96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>A sugárzott zavartűrésnek meg kell felelni az MSZ EN 61000-4-6 előírásoknak.</w:t>
      </w:r>
    </w:p>
    <w:p w14:paraId="38F85D97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 xml:space="preserve">Frekvenciasáv </w:t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>
        <w:rPr>
          <w:color w:val="auto"/>
        </w:rPr>
        <w:t>Vizsgáló tér (E)</w:t>
      </w:r>
      <w:r>
        <w:rPr>
          <w:color w:val="auto"/>
        </w:rPr>
        <w:tab/>
      </w:r>
      <w:r>
        <w:rPr>
          <w:color w:val="auto"/>
        </w:rPr>
        <w:br/>
        <w:t>80 – 1000 MHz</w:t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 w:rsidR="008C25BD">
        <w:rPr>
          <w:color w:val="auto"/>
        </w:rPr>
        <w:tab/>
      </w:r>
      <w:r>
        <w:rPr>
          <w:color w:val="auto"/>
        </w:rPr>
        <w:t>3 V/m</w:t>
      </w:r>
    </w:p>
    <w:p w14:paraId="38F85D98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lastRenderedPageBreak/>
        <w:br/>
        <w:t>Vizsgálójel amplitúdó modulált, 1 kHz-es szinuszos jel (m=80%).</w:t>
      </w:r>
    </w:p>
    <w:p w14:paraId="38F85D99" w14:textId="77777777" w:rsidR="00F05EB2" w:rsidRDefault="00F05EB2">
      <w:pPr>
        <w:pStyle w:val="Cmsor3"/>
        <w:rPr>
          <w:color w:val="auto"/>
        </w:rPr>
      </w:pPr>
      <w:bookmarkStart w:id="41" w:name="_Toc188769845"/>
      <w:bookmarkStart w:id="42" w:name="_Toc188769965"/>
      <w:bookmarkStart w:id="43" w:name="_Toc117592373"/>
      <w:bookmarkStart w:id="44" w:name="_Toc531430097"/>
      <w:r>
        <w:rPr>
          <w:color w:val="auto"/>
        </w:rPr>
        <w:t>4.3 Elektrosztatikus kisüléssel szembeni zavartűrés (ESD)</w:t>
      </w:r>
      <w:bookmarkEnd w:id="41"/>
      <w:bookmarkEnd w:id="42"/>
      <w:bookmarkEnd w:id="43"/>
      <w:bookmarkEnd w:id="44"/>
    </w:p>
    <w:p w14:paraId="38F85D9A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 xml:space="preserve">A berendezésnek teljesítenie kell az MSZ EN 300 386előírásait. </w:t>
      </w:r>
      <w:r>
        <w:rPr>
          <w:color w:val="auto"/>
        </w:rPr>
        <w:tab/>
      </w:r>
      <w:r>
        <w:rPr>
          <w:color w:val="auto"/>
        </w:rPr>
        <w:br/>
        <w:t>A vizsgálati módszert az MSZ EN 61000-4-2 tartalmazza.</w:t>
      </w:r>
    </w:p>
    <w:p w14:paraId="38F85D9B" w14:textId="77777777" w:rsidR="00F05EB2" w:rsidRDefault="00F05EB2">
      <w:pPr>
        <w:pStyle w:val="Cmsor3"/>
        <w:rPr>
          <w:color w:val="auto"/>
        </w:rPr>
      </w:pPr>
      <w:bookmarkStart w:id="45" w:name="_Toc188769846"/>
      <w:bookmarkStart w:id="46" w:name="_Toc188769966"/>
      <w:bookmarkStart w:id="47" w:name="_Toc117592374"/>
      <w:bookmarkStart w:id="48" w:name="_Toc531430098"/>
      <w:r>
        <w:rPr>
          <w:color w:val="auto"/>
        </w:rPr>
        <w:t>4.4 Elektromos gyors tranziensekkel (burst) szembeni zavartűrés (EFT)</w:t>
      </w:r>
      <w:bookmarkEnd w:id="45"/>
      <w:bookmarkEnd w:id="46"/>
      <w:bookmarkEnd w:id="47"/>
      <w:bookmarkEnd w:id="48"/>
    </w:p>
    <w:p w14:paraId="38F85D9C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 xml:space="preserve">A berendezésnek teljesítenie kell az MSZ EN 300 386 előírásait. </w:t>
      </w:r>
      <w:r>
        <w:rPr>
          <w:color w:val="auto"/>
        </w:rPr>
        <w:tab/>
      </w:r>
      <w:r>
        <w:rPr>
          <w:color w:val="auto"/>
        </w:rPr>
        <w:br/>
        <w:t>A vizsgálati módszert az MSZ EN 61000-4-4 tartalmazza.</w:t>
      </w:r>
    </w:p>
    <w:p w14:paraId="38F85D9D" w14:textId="77777777" w:rsidR="00F05EB2" w:rsidRDefault="00F05EB2">
      <w:pPr>
        <w:pStyle w:val="Cmsor3"/>
        <w:rPr>
          <w:color w:val="auto"/>
        </w:rPr>
      </w:pPr>
      <w:bookmarkStart w:id="49" w:name="_Toc188769847"/>
      <w:bookmarkStart w:id="50" w:name="_Toc188769967"/>
      <w:bookmarkStart w:id="51" w:name="_Toc117592375"/>
      <w:bookmarkStart w:id="52" w:name="_Toc531430099"/>
      <w:r>
        <w:rPr>
          <w:color w:val="auto"/>
        </w:rPr>
        <w:t>4.5 Lökő-hullámokkal szembeni zavartűrés</w:t>
      </w:r>
      <w:bookmarkEnd w:id="49"/>
      <w:bookmarkEnd w:id="50"/>
      <w:bookmarkEnd w:id="51"/>
      <w:bookmarkEnd w:id="52"/>
    </w:p>
    <w:p w14:paraId="38F85D9E" w14:textId="77777777" w:rsidR="00F05EB2" w:rsidRDefault="00F05EB2">
      <w:pPr>
        <w:pStyle w:val="C"/>
        <w:rPr>
          <w:color w:val="auto"/>
        </w:rPr>
      </w:pPr>
      <w:r>
        <w:rPr>
          <w:color w:val="auto"/>
        </w:rPr>
        <w:br/>
        <w:t xml:space="preserve">A berendezésnek teljesítenie kell az MSZ EN 300 386 előírásait. </w:t>
      </w:r>
      <w:r>
        <w:rPr>
          <w:color w:val="auto"/>
        </w:rPr>
        <w:tab/>
      </w:r>
      <w:r>
        <w:rPr>
          <w:color w:val="auto"/>
        </w:rPr>
        <w:br/>
        <w:t>A vizsgálati módszert az MSZ EN 61000-4-5 tartalmazza.</w:t>
      </w:r>
    </w:p>
    <w:p w14:paraId="38F85D9F" w14:textId="77777777" w:rsidR="00374C00" w:rsidRDefault="00F05EB2">
      <w:pPr>
        <w:pStyle w:val="C"/>
        <w:rPr>
          <w:color w:val="auto"/>
        </w:rPr>
      </w:pPr>
      <w:r>
        <w:rPr>
          <w:color w:val="auto"/>
        </w:rPr>
        <w:br/>
        <w:t>A Jogosultnak az egyes EMC paraméterek megfelelőségét igazoló nyilatkozatot és részletes vizsgálati jegyzőkönyvet be kell nyújtania a Magyar Telekom számára.</w:t>
      </w:r>
    </w:p>
    <w:p w14:paraId="38F85DA0" w14:textId="77777777" w:rsidR="00374C00" w:rsidRDefault="00374C00">
      <w:pPr>
        <w:pStyle w:val="C"/>
        <w:rPr>
          <w:color w:val="auto"/>
        </w:rPr>
      </w:pPr>
    </w:p>
    <w:p w14:paraId="38F85DA1" w14:textId="77777777" w:rsidR="00374C00" w:rsidRDefault="00374C00" w:rsidP="00E72F01">
      <w:pPr>
        <w:pStyle w:val="B"/>
        <w:ind w:left="851" w:firstLine="0"/>
      </w:pPr>
      <w:r>
        <w:t>A Jogosult által alkalmazni kívánt előfizető oldali végberendezés(ek</w:t>
      </w:r>
      <w:r w:rsidRPr="00E212C2">
        <w:t xml:space="preserve">)nek meg kell felelni(ük) a </w:t>
      </w:r>
      <w:r w:rsidR="00E569F8" w:rsidRPr="00E212C2">
        <w:t xml:space="preserve">8/2016 (XII.6.) NMHH </w:t>
      </w:r>
      <w:r w:rsidRPr="00E212C2">
        <w:t>rendeletben előírtaknak, a hatályos MSZ EN 300</w:t>
      </w:r>
      <w:r>
        <w:t xml:space="preserve"> 386 szabványnak</w:t>
      </w:r>
      <w:r w:rsidR="00646492">
        <w:t>.</w:t>
      </w:r>
    </w:p>
    <w:p w14:paraId="38F85DA2" w14:textId="77777777" w:rsidR="00F05EB2" w:rsidRDefault="00F05EB2">
      <w:pPr>
        <w:pStyle w:val="Cmsor2"/>
        <w:rPr>
          <w:color w:val="auto"/>
        </w:rPr>
      </w:pPr>
      <w:bookmarkStart w:id="53" w:name="_Toc188769848"/>
      <w:bookmarkStart w:id="54" w:name="_Toc188769968"/>
      <w:bookmarkStart w:id="55" w:name="_Toc117592376"/>
      <w:bookmarkStart w:id="56" w:name="_Toc531430100"/>
      <w:r>
        <w:rPr>
          <w:color w:val="auto"/>
        </w:rPr>
        <w:t>5 Villamos biztonságtechnikai</w:t>
      </w:r>
      <w:r w:rsidR="00D3426B">
        <w:rPr>
          <w:color w:val="auto"/>
        </w:rPr>
        <w:t xml:space="preserve"> szempontú </w:t>
      </w:r>
      <w:r>
        <w:rPr>
          <w:color w:val="auto"/>
        </w:rPr>
        <w:t>minősítés</w:t>
      </w:r>
      <w:bookmarkEnd w:id="53"/>
      <w:bookmarkEnd w:id="54"/>
      <w:bookmarkEnd w:id="55"/>
      <w:bookmarkEnd w:id="56"/>
    </w:p>
    <w:p w14:paraId="38F85DA3" w14:textId="77777777" w:rsidR="00F05EB2" w:rsidRDefault="00F05EB2">
      <w:pPr>
        <w:pStyle w:val="B"/>
      </w:pPr>
    </w:p>
    <w:p w14:paraId="38F85DA4" w14:textId="77777777" w:rsidR="00F05EB2" w:rsidRDefault="00F05EB2">
      <w:pPr>
        <w:pStyle w:val="B"/>
      </w:pPr>
      <w:r>
        <w:rPr>
          <w:b/>
        </w:rPr>
        <w:t>5.1 </w:t>
      </w:r>
      <w:r>
        <w:t>A Jogosult a Magyar Telekom telephelyén csak olyan kisfeszültségű villamos berendezést telepíthet, amelyen a megfelelőség értékelési eljárást (IKIM 79/97. (XII. 31.)) elvégezték. (A távközlési berendezéseknek villamos biztonságtechnikai szempontból meg kell felelni az MSZ EN 60950 előírásainak.)</w:t>
      </w:r>
    </w:p>
    <w:p w14:paraId="38F85DA5" w14:textId="77777777" w:rsidR="00F05EB2" w:rsidRDefault="00F05EB2">
      <w:pPr>
        <w:pStyle w:val="B"/>
      </w:pPr>
    </w:p>
    <w:p w14:paraId="38F85DA6" w14:textId="77777777" w:rsidR="00F05EB2" w:rsidRDefault="00F05EB2">
      <w:pPr>
        <w:pStyle w:val="B"/>
      </w:pPr>
      <w:r>
        <w:rPr>
          <w:b/>
        </w:rPr>
        <w:t>5.2 </w:t>
      </w:r>
      <w:r>
        <w:t>A berendezéseken adattáblát, illetve azok részegységein azonosító címkéket kell elhelyezni. Az adattáblákat jól látható helyen kell elhelyezni és időtállóan az alábbi információkat kell tartalmaznia:</w:t>
      </w:r>
    </w:p>
    <w:p w14:paraId="38F85DA7" w14:textId="77777777" w:rsidR="00F05EB2" w:rsidRDefault="00F05EB2">
      <w:pPr>
        <w:pStyle w:val="C"/>
      </w:pPr>
    </w:p>
    <w:p w14:paraId="38F85DA8" w14:textId="77777777" w:rsidR="00F05EB2" w:rsidRDefault="00F05EB2">
      <w:pPr>
        <w:pStyle w:val="C"/>
      </w:pPr>
      <w:r>
        <w:rPr>
          <w:b/>
        </w:rPr>
        <w:t>a) </w:t>
      </w:r>
      <w:r>
        <w:t>Berendezés típusa;</w:t>
      </w:r>
    </w:p>
    <w:p w14:paraId="38F85DA9" w14:textId="77777777" w:rsidR="00F05EB2" w:rsidRDefault="00F05EB2">
      <w:pPr>
        <w:pStyle w:val="C"/>
      </w:pPr>
    </w:p>
    <w:p w14:paraId="38F85DAA" w14:textId="77777777" w:rsidR="00F05EB2" w:rsidRDefault="00F05EB2">
      <w:pPr>
        <w:pStyle w:val="C"/>
      </w:pPr>
      <w:r>
        <w:rPr>
          <w:b/>
        </w:rPr>
        <w:t>b) </w:t>
      </w:r>
      <w:r>
        <w:t>Gyártó neve, gyártási szám és annak éve;</w:t>
      </w:r>
    </w:p>
    <w:p w14:paraId="38F85DAB" w14:textId="77777777" w:rsidR="00F05EB2" w:rsidRDefault="00F05EB2">
      <w:pPr>
        <w:pStyle w:val="C"/>
      </w:pPr>
    </w:p>
    <w:p w14:paraId="38F85DAC" w14:textId="77777777" w:rsidR="00F05EB2" w:rsidRDefault="00F05EB2">
      <w:pPr>
        <w:pStyle w:val="C"/>
      </w:pPr>
      <w:r>
        <w:rPr>
          <w:b/>
        </w:rPr>
        <w:t>c) </w:t>
      </w:r>
      <w:r>
        <w:t>Tápfeszültség;</w:t>
      </w:r>
    </w:p>
    <w:p w14:paraId="38F85DAD" w14:textId="77777777" w:rsidR="00F05EB2" w:rsidRDefault="00F05EB2">
      <w:pPr>
        <w:pStyle w:val="C"/>
      </w:pPr>
    </w:p>
    <w:p w14:paraId="38F85DAE" w14:textId="77777777" w:rsidR="00F05EB2" w:rsidRDefault="00F05EB2">
      <w:pPr>
        <w:pStyle w:val="C"/>
      </w:pPr>
      <w:r>
        <w:rPr>
          <w:b/>
        </w:rPr>
        <w:t>d) </w:t>
      </w:r>
      <w:r>
        <w:t>Érintésvédelmi osztály (II-es érintésvédelmi osztályú berendezés esetén annak jele is);</w:t>
      </w:r>
    </w:p>
    <w:p w14:paraId="38F85DAF" w14:textId="77777777" w:rsidR="00F05EB2" w:rsidRDefault="00F05EB2">
      <w:pPr>
        <w:pStyle w:val="C"/>
      </w:pPr>
    </w:p>
    <w:p w14:paraId="38F85DB0" w14:textId="77777777" w:rsidR="00F05EB2" w:rsidRDefault="00F05EB2">
      <w:pPr>
        <w:pStyle w:val="C"/>
      </w:pPr>
      <w:r>
        <w:rPr>
          <w:b/>
        </w:rPr>
        <w:t>e) </w:t>
      </w:r>
      <w:r>
        <w:t>CE jelölés.</w:t>
      </w:r>
    </w:p>
    <w:p w14:paraId="38F85DB1" w14:textId="77777777" w:rsidR="00F05EB2" w:rsidRDefault="00F05EB2">
      <w:pPr>
        <w:pStyle w:val="C"/>
      </w:pPr>
    </w:p>
    <w:p w14:paraId="38F85DB2" w14:textId="77777777" w:rsidR="00F05EB2" w:rsidRDefault="00F05EB2">
      <w:pPr>
        <w:pStyle w:val="B"/>
      </w:pPr>
      <w:r>
        <w:rPr>
          <w:b/>
        </w:rPr>
        <w:t>5.3 </w:t>
      </w:r>
      <w:r>
        <w:t>A berendezések érintésvédelmi rendszerét (földelés, egyen potenciálra hozás, stb.) az MSZ</w:t>
      </w:r>
      <w:r w:rsidR="004202DD">
        <w:t xml:space="preserve"> 2364 </w:t>
      </w:r>
      <w:r>
        <w:t>és az MSZ 1600 szabványsorozat előírásainak figyelembevételével kell kialakítani.</w:t>
      </w:r>
    </w:p>
    <w:p w14:paraId="38F85DB3" w14:textId="77777777" w:rsidR="00F05EB2" w:rsidRDefault="00F05EB2">
      <w:pPr>
        <w:pStyle w:val="B"/>
      </w:pPr>
    </w:p>
    <w:p w14:paraId="38F85DB4" w14:textId="77777777" w:rsidR="00F05EB2" w:rsidRDefault="00F05EB2">
      <w:pPr>
        <w:pStyle w:val="B"/>
      </w:pPr>
      <w:r>
        <w:rPr>
          <w:b/>
        </w:rPr>
        <w:t>5.4 </w:t>
      </w:r>
      <w:r>
        <w:t>A berendezések védettségi fokozata az MSZ IEC 529 szerinti, az alkalmazás helyének megfelelő legyen.</w:t>
      </w:r>
    </w:p>
    <w:p w14:paraId="38F85DB5" w14:textId="77777777" w:rsidR="00F05EB2" w:rsidRDefault="00F05EB2">
      <w:pPr>
        <w:pStyle w:val="B"/>
      </w:pPr>
    </w:p>
    <w:p w14:paraId="38F85DB6" w14:textId="77777777" w:rsidR="00F05EB2" w:rsidRDefault="00F05EB2">
      <w:pPr>
        <w:pStyle w:val="B"/>
      </w:pPr>
      <w:r>
        <w:rPr>
          <w:b/>
        </w:rPr>
        <w:t>5.5 </w:t>
      </w:r>
      <w:r>
        <w:t>A hálózati csatlakozó dugók és aljzatok feleljenek meg az MSZ EN 60320-1 és az MSZ 9871/2 előírásainak.</w:t>
      </w:r>
    </w:p>
    <w:p w14:paraId="38F85DB7" w14:textId="77777777" w:rsidR="00F05EB2" w:rsidRDefault="00F05EB2">
      <w:pPr>
        <w:pStyle w:val="B"/>
      </w:pPr>
    </w:p>
    <w:p w14:paraId="38F85DB8" w14:textId="77777777" w:rsidR="00F05EB2" w:rsidRDefault="00F05EB2">
      <w:pPr>
        <w:pStyle w:val="B"/>
      </w:pPr>
      <w:r>
        <w:rPr>
          <w:b/>
        </w:rPr>
        <w:t>5.6 </w:t>
      </w:r>
      <w:r>
        <w:t>A veszélyes feszültségű részeket, burkolatokat az MSZ 453 szerinti figyelmeztető jelzéssel kell ellátni.</w:t>
      </w:r>
    </w:p>
    <w:p w14:paraId="38F85DB9" w14:textId="77777777" w:rsidR="00F05EB2" w:rsidRDefault="00F05EB2">
      <w:pPr>
        <w:pStyle w:val="B"/>
      </w:pPr>
    </w:p>
    <w:p w14:paraId="38F85DBA" w14:textId="77777777" w:rsidR="00F05EB2" w:rsidRDefault="00F05EB2">
      <w:pPr>
        <w:pStyle w:val="B"/>
      </w:pPr>
      <w:r>
        <w:rPr>
          <w:b/>
        </w:rPr>
        <w:t>5.7 </w:t>
      </w:r>
      <w:r>
        <w:t>A Magyar Telekom az előfizetői érpáron az MSZ 17016 szerinti túlfeszültség védelmet biztosítja.</w:t>
      </w:r>
    </w:p>
    <w:p w14:paraId="38F85DBB" w14:textId="77777777" w:rsidR="00F05EB2" w:rsidRDefault="00F05EB2">
      <w:pPr>
        <w:pStyle w:val="B"/>
      </w:pPr>
    </w:p>
    <w:p w14:paraId="38F85DBC" w14:textId="77777777" w:rsidR="00F05EB2" w:rsidRDefault="00F05EB2">
      <w:pPr>
        <w:pStyle w:val="B"/>
      </w:pPr>
      <w:r>
        <w:rPr>
          <w:b/>
        </w:rPr>
        <w:t>5.8 </w:t>
      </w:r>
      <w:r>
        <w:t>Amennyiben a Jogosult 60 V</w:t>
      </w:r>
      <w:r>
        <w:rPr>
          <w:vertAlign w:val="subscript"/>
        </w:rPr>
        <w:t xml:space="preserve">DC </w:t>
      </w:r>
      <w:r>
        <w:t>-nél (vagy annak megfelelő AC -nél) nagyobb feszültségű távtáplálást alkalmaz, a túlfeszültség védelem a Jogosult feladata.</w:t>
      </w:r>
    </w:p>
    <w:p w14:paraId="38F85DBD" w14:textId="77777777" w:rsidR="00F05EB2" w:rsidRDefault="00F05EB2">
      <w:pPr>
        <w:pStyle w:val="B"/>
      </w:pPr>
    </w:p>
    <w:p w14:paraId="38F85DBE" w14:textId="77777777" w:rsidR="00F05EB2" w:rsidRDefault="00F05EB2">
      <w:pPr>
        <w:pStyle w:val="B"/>
      </w:pPr>
      <w:r>
        <w:rPr>
          <w:b/>
        </w:rPr>
        <w:t>5.9 </w:t>
      </w:r>
      <w:r>
        <w:t>Az alkalmazni kívánt túlfeszültség védelmi eszközt – amennyiben azt a Magyar Telekom nem alkalmazza, tehát a hálózat szempontjából “ismeretlen” - a Magyar Telekommal minősíttetni kell.</w:t>
      </w:r>
    </w:p>
    <w:p w14:paraId="38F85DBF" w14:textId="77777777" w:rsidR="00F05EB2" w:rsidRDefault="00F05EB2">
      <w:pPr>
        <w:pStyle w:val="B"/>
      </w:pPr>
    </w:p>
    <w:p w14:paraId="38F85DC0" w14:textId="77777777" w:rsidR="00F05EB2" w:rsidRDefault="00F05EB2">
      <w:pPr>
        <w:pStyle w:val="B"/>
      </w:pPr>
      <w:r>
        <w:rPr>
          <w:b/>
        </w:rPr>
        <w:t>5.10 </w:t>
      </w:r>
      <w:r>
        <w:t>Távtáplált berendezés esetén, amennyiben a távtápláló feszültség értéke nagyobb, mint 120 V</w:t>
      </w:r>
      <w:r>
        <w:rPr>
          <w:vertAlign w:val="subscript"/>
        </w:rPr>
        <w:t>DC</w:t>
      </w:r>
      <w:r>
        <w:t>, akkor - a véletlen érintés következtében fellépő áramütés elkerülése érdekében - a Jogosult csak olyan berendezés alkalmazhat, amely kétlépcsős védelmi fokozattal rendelkezik. Az I. fokozat, amely biztosítja, hogy a vonalon folyó áram üzemi körülmények között ne lépje túl a 60 mA-t és az elsőtől független II. fokozat, amely 200 ms-on belül lekapcsolja a távtápláló feszültséget, ha a vonali áram eléri a max. 60 mA+10% értéket.</w:t>
      </w:r>
    </w:p>
    <w:p w14:paraId="38F85DC1" w14:textId="77777777" w:rsidR="00F05EB2" w:rsidRDefault="00F05EB2">
      <w:pPr>
        <w:pStyle w:val="B"/>
      </w:pPr>
    </w:p>
    <w:p w14:paraId="38F85DC2" w14:textId="77777777" w:rsidR="00F05EB2" w:rsidRDefault="00F05EB2">
      <w:pPr>
        <w:pStyle w:val="B"/>
      </w:pPr>
      <w:r>
        <w:rPr>
          <w:b/>
        </w:rPr>
        <w:t>5.11 </w:t>
      </w:r>
      <w:r>
        <w:t>A Jogosult az ismeretlen eszközök és berendezések esetén az alkalmasság megállapítása érdekében köteles az előzőekben ismertetett szabványoknak és követelményeknek a teljesítéséről nyilatkozni, a berendezésekre vonatkozó villamos biztonságtechnikai engedélyeket és tanúsítványokat, illetve a megfelelőségi eljárás során összeállított dokumentációt a Magyar Telekomnak (másolatban) átadni</w:t>
      </w:r>
      <w:r w:rsidR="00F63506">
        <w:t>.</w:t>
      </w:r>
      <w:r w:rsidR="00071CC3">
        <w:t>.</w:t>
      </w:r>
    </w:p>
    <w:p w14:paraId="38F85DC3" w14:textId="77777777" w:rsidR="00F05EB2" w:rsidRDefault="00F05EB2">
      <w:pPr>
        <w:pStyle w:val="B"/>
      </w:pPr>
    </w:p>
    <w:p w14:paraId="38F85DC4" w14:textId="77777777" w:rsidR="00AB0681" w:rsidRDefault="00F05EB2">
      <w:pPr>
        <w:pStyle w:val="B"/>
      </w:pPr>
      <w:r>
        <w:rPr>
          <w:b/>
        </w:rPr>
        <w:t>5.12 </w:t>
      </w:r>
      <w:r>
        <w:t>A már üzemelő, illetve bevizsgált eszközök esetében a Jogosult köteles a villamos biztonságtechnikát érintő változtatásokat előzetesen bejelenteni és a Magyar Telekommal véleményeztetni. Csak a jóváhagyott változtatások vezethetők be a működő hálózatban.</w:t>
      </w:r>
    </w:p>
    <w:p w14:paraId="38F85DC5" w14:textId="77777777" w:rsidR="004202DD" w:rsidRDefault="00F05EB2">
      <w:pPr>
        <w:pStyle w:val="B"/>
      </w:pPr>
      <w:r>
        <w:t xml:space="preserve"> </w:t>
      </w:r>
    </w:p>
    <w:p w14:paraId="38F85DC6" w14:textId="77777777" w:rsidR="00F05EB2" w:rsidRDefault="00F05EB2" w:rsidP="004202DD">
      <w:pPr>
        <w:pStyle w:val="B"/>
        <w:ind w:firstLine="0"/>
      </w:pPr>
      <w:r>
        <w:t>A fentiekkel azonos módon kell eljárni a Magyar Telekom hálózatába újonnan telepített – a Jogosult már betelepített eszközét esetlegesen zavaró – Magyar Telekom tulajdonú eszközök esetén is.</w:t>
      </w:r>
    </w:p>
    <w:p w14:paraId="38F85DC7" w14:textId="77777777" w:rsidR="00F05EB2" w:rsidRDefault="00F05EB2">
      <w:pPr>
        <w:pStyle w:val="Cmsor2"/>
        <w:rPr>
          <w:color w:val="auto"/>
        </w:rPr>
      </w:pPr>
      <w:bookmarkStart w:id="57" w:name="_Toc188769849"/>
      <w:bookmarkStart w:id="58" w:name="_Toc188769969"/>
      <w:bookmarkStart w:id="59" w:name="_Toc117592377"/>
      <w:bookmarkStart w:id="60" w:name="_Toc531430101"/>
      <w:r>
        <w:rPr>
          <w:color w:val="auto"/>
        </w:rPr>
        <w:t>6. Áramellátási</w:t>
      </w:r>
      <w:r w:rsidR="00D3426B">
        <w:rPr>
          <w:color w:val="auto"/>
        </w:rPr>
        <w:t xml:space="preserve"> szempontú </w:t>
      </w:r>
      <w:r>
        <w:rPr>
          <w:color w:val="auto"/>
        </w:rPr>
        <w:t>minősítés</w:t>
      </w:r>
      <w:bookmarkEnd w:id="57"/>
      <w:bookmarkEnd w:id="58"/>
      <w:bookmarkEnd w:id="59"/>
      <w:bookmarkEnd w:id="60"/>
    </w:p>
    <w:p w14:paraId="38F85DC8" w14:textId="77777777" w:rsidR="00F05EB2" w:rsidRDefault="00F05EB2">
      <w:pPr>
        <w:pStyle w:val="A"/>
      </w:pPr>
      <w:r>
        <w:br/>
        <w:t>A Magyar Telekom telephelyén betelepített berendezések számára lehetőség szerint 48V névleges érték</w:t>
      </w:r>
      <w:r w:rsidR="00AB0681">
        <w:t>ű</w:t>
      </w:r>
      <w:r>
        <w:t xml:space="preserve"> megszakításmentes egyenfeszültséget, valamint 230V, 50Hz névleges érték</w:t>
      </w:r>
      <w:r w:rsidR="00AB0681">
        <w:t>ű</w:t>
      </w:r>
      <w:r>
        <w:t xml:space="preserve"> hálózati feszültséget biztosít.</w:t>
      </w:r>
    </w:p>
    <w:p w14:paraId="38F85DC9" w14:textId="77777777" w:rsidR="00F05EB2" w:rsidRDefault="00F05EB2">
      <w:pPr>
        <w:pStyle w:val="A"/>
      </w:pPr>
      <w:r>
        <w:lastRenderedPageBreak/>
        <w:br/>
        <w:t>A Jogosult írásos nyilatkozata szükséges, illetve vizsgálati dokumentumokkal kell igazolnia, hogy az alábbiakban részletezett követelményeknek az alkalmazni kívánt eszköze(i) és berendezése(i) megfelel(nek).</w:t>
      </w:r>
    </w:p>
    <w:p w14:paraId="38F85DCA" w14:textId="77777777" w:rsidR="00F05EB2" w:rsidRDefault="00F05EB2">
      <w:pPr>
        <w:pStyle w:val="A"/>
      </w:pPr>
      <w:r>
        <w:br/>
        <w:t>Betelepített berendezések tápellátási csatlakoztatási felületével szemben támasztott követelmények:</w:t>
      </w:r>
    </w:p>
    <w:p w14:paraId="38F85DCB" w14:textId="77777777" w:rsidR="00F05EB2" w:rsidRDefault="00F05EB2">
      <w:pPr>
        <w:pStyle w:val="Cmsor3"/>
        <w:rPr>
          <w:b w:val="0"/>
          <w:color w:val="auto"/>
        </w:rPr>
      </w:pPr>
      <w:bookmarkStart w:id="61" w:name="_Toc188769850"/>
      <w:bookmarkStart w:id="62" w:name="_Toc188769970"/>
      <w:bookmarkStart w:id="63" w:name="_Toc117592378"/>
      <w:bookmarkStart w:id="64" w:name="_Toc531430102"/>
      <w:r>
        <w:rPr>
          <w:color w:val="auto"/>
        </w:rPr>
        <w:t>6.1 48V DC névleges feszültségű megszakításmentes áramellátási csatlakoztatási felületről üzemelő berendezések</w:t>
      </w:r>
      <w:bookmarkEnd w:id="61"/>
      <w:bookmarkEnd w:id="62"/>
      <w:bookmarkEnd w:id="63"/>
      <w:bookmarkEnd w:id="64"/>
    </w:p>
    <w:p w14:paraId="38F85DCC" w14:textId="77777777" w:rsidR="00F05EB2" w:rsidRDefault="00F05EB2">
      <w:pPr>
        <w:pStyle w:val="Cmsor4"/>
        <w:rPr>
          <w:color w:val="auto"/>
        </w:rPr>
      </w:pPr>
      <w:bookmarkStart w:id="65" w:name="_Toc188769971"/>
      <w:bookmarkStart w:id="66" w:name="_Toc117592379"/>
      <w:bookmarkStart w:id="67" w:name="_Toc531430103"/>
      <w:r>
        <w:rPr>
          <w:color w:val="auto"/>
        </w:rPr>
        <w:t>6.1.1 Általános követelmény</w:t>
      </w:r>
      <w:bookmarkEnd w:id="65"/>
      <w:bookmarkEnd w:id="66"/>
      <w:bookmarkEnd w:id="67"/>
    </w:p>
    <w:p w14:paraId="38F85DCD" w14:textId="77777777" w:rsidR="00F05EB2" w:rsidRDefault="00F05EB2">
      <w:pPr>
        <w:pStyle w:val="C"/>
      </w:pPr>
      <w:r>
        <w:br/>
        <w:t>Ahol a Magyar Telekom tápellátási csatlakoztatási felületen 48 V névleges egyenfeszültséget szolgáltat, ott a betelepített berendezések áramellátási csatlakozási interfészének meg kell felelnie az MSZ ETS 300132 – 2 előírásainak. A főbb paraméterek a következők:</w:t>
      </w:r>
    </w:p>
    <w:p w14:paraId="38F85DCE" w14:textId="77777777" w:rsidR="00F05EB2" w:rsidRDefault="00F05EB2">
      <w:pPr>
        <w:pStyle w:val="Cmsor4"/>
        <w:rPr>
          <w:color w:val="auto"/>
        </w:rPr>
      </w:pPr>
      <w:bookmarkStart w:id="68" w:name="_Toc188769972"/>
      <w:bookmarkStart w:id="69" w:name="_Toc117592380"/>
      <w:bookmarkStart w:id="70" w:name="_Toc531430104"/>
      <w:r>
        <w:rPr>
          <w:color w:val="auto"/>
        </w:rPr>
        <w:t>6.1.2 Üzemi feszültségtartomány</w:t>
      </w:r>
      <w:bookmarkEnd w:id="68"/>
      <w:bookmarkEnd w:id="69"/>
      <w:bookmarkEnd w:id="70"/>
    </w:p>
    <w:p w14:paraId="38F85DCF" w14:textId="77777777" w:rsidR="00F05EB2" w:rsidRDefault="00F05EB2">
      <w:pPr>
        <w:pStyle w:val="C"/>
      </w:pPr>
      <w:r>
        <w:br/>
        <w:t>A 48V névleges értékű egyenfeszültség 40,5....57V tartományban változhat. Az áramellátásra kapcsolt berendezésnek alkalmasnak kell lennie a fenti feszültségtartomány elviselésére, illetve a berendezés hibája nem okozhatja az áramellátási csatlakoztatási felület minőségi romlását.</w:t>
      </w:r>
    </w:p>
    <w:p w14:paraId="38F85DD0" w14:textId="77777777" w:rsidR="00F05EB2" w:rsidRDefault="00F05EB2">
      <w:pPr>
        <w:pStyle w:val="Cmsor4"/>
        <w:rPr>
          <w:color w:val="auto"/>
        </w:rPr>
      </w:pPr>
      <w:bookmarkStart w:id="71" w:name="_Toc188769973"/>
      <w:bookmarkStart w:id="72" w:name="_Toc117592381"/>
      <w:bookmarkStart w:id="73" w:name="_Toc531430105"/>
      <w:r>
        <w:rPr>
          <w:color w:val="auto"/>
        </w:rPr>
        <w:t>6.1.3 A berendezés bekapcsolási áramlökése</w:t>
      </w:r>
      <w:bookmarkEnd w:id="71"/>
      <w:bookmarkEnd w:id="72"/>
      <w:bookmarkEnd w:id="73"/>
    </w:p>
    <w:p w14:paraId="38F85DD1" w14:textId="77777777" w:rsidR="00F05EB2" w:rsidRDefault="00F05EB2">
      <w:pPr>
        <w:pStyle w:val="C"/>
      </w:pPr>
      <w:r>
        <w:br/>
        <w:t>A bekapcsolási folyamat során a távközlő berendezés által felvett áram nem haladhatja meg az 1. ábrán megadott értékeket.</w:t>
      </w:r>
    </w:p>
    <w:p w14:paraId="38F85DD2" w14:textId="77777777" w:rsidR="00F05EB2" w:rsidRDefault="00F05EB2">
      <w:pPr>
        <w:jc w:val="both"/>
      </w:pPr>
    </w:p>
    <w:p w14:paraId="38F85DD3" w14:textId="2BF3ACA3" w:rsidR="00F05EB2" w:rsidRDefault="00740F04">
      <w:pPr>
        <w:jc w:val="both"/>
      </w:pPr>
      <w:r>
        <w:rPr>
          <w:noProof/>
        </w:rPr>
        <w:drawing>
          <wp:inline distT="0" distB="0" distL="0" distR="0" wp14:anchorId="38F85E63" wp14:editId="1F0F6072">
            <wp:extent cx="5591175" cy="32099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85DD4" w14:textId="77777777" w:rsidR="00F05EB2" w:rsidRDefault="00F05EB2">
      <w:pPr>
        <w:jc w:val="center"/>
      </w:pPr>
      <w:r>
        <w:t>1. ábra</w:t>
      </w:r>
    </w:p>
    <w:p w14:paraId="38F85DD5" w14:textId="77777777" w:rsidR="00F05EB2" w:rsidRDefault="00F05EB2">
      <w:pPr>
        <w:jc w:val="center"/>
      </w:pPr>
      <w:r>
        <w:t>A bekapcsolási folyamat során a felvett áram időbeli lefolyása</w:t>
      </w:r>
    </w:p>
    <w:p w14:paraId="38F85DD6" w14:textId="77777777" w:rsidR="00F05EB2" w:rsidRDefault="00F05EB2">
      <w:pPr>
        <w:pStyle w:val="D"/>
        <w:ind w:left="993" w:firstLine="0"/>
        <w:rPr>
          <w:color w:val="auto"/>
        </w:rPr>
      </w:pPr>
    </w:p>
    <w:p w14:paraId="38F85DD7" w14:textId="77777777" w:rsidR="00F05EB2" w:rsidRDefault="00F05EB2">
      <w:pPr>
        <w:pStyle w:val="D"/>
        <w:ind w:left="993" w:firstLine="0"/>
        <w:rPr>
          <w:color w:val="auto"/>
        </w:rPr>
      </w:pPr>
      <w:r>
        <w:rPr>
          <w:color w:val="auto"/>
        </w:rPr>
        <w:t>Az ábrán alkalmazott jelölések:</w:t>
      </w:r>
    </w:p>
    <w:p w14:paraId="38F85DD8" w14:textId="77777777" w:rsidR="00F05EB2" w:rsidRDefault="00F05EB2">
      <w:pPr>
        <w:pStyle w:val="D"/>
        <w:ind w:left="993" w:firstLine="0"/>
        <w:rPr>
          <w:color w:val="auto"/>
        </w:rPr>
      </w:pPr>
    </w:p>
    <w:p w14:paraId="38F85DD9" w14:textId="77777777" w:rsidR="00F05EB2" w:rsidRDefault="00F05EB2">
      <w:pPr>
        <w:pStyle w:val="D"/>
        <w:ind w:left="993" w:firstLine="0"/>
        <w:rPr>
          <w:color w:val="auto"/>
        </w:rPr>
      </w:pPr>
      <w:r>
        <w:rPr>
          <w:color w:val="auto"/>
        </w:rPr>
        <w:t>I</w:t>
      </w:r>
      <w:r>
        <w:rPr>
          <w:color w:val="auto"/>
          <w:vertAlign w:val="subscript"/>
        </w:rPr>
        <w:t xml:space="preserve">t </w:t>
      </w:r>
      <w:r>
        <w:rPr>
          <w:color w:val="auto"/>
        </w:rPr>
        <w:t>- a bekapcsolási áram pillanatértékének abszolút értéke</w:t>
      </w:r>
    </w:p>
    <w:p w14:paraId="38F85DDA" w14:textId="77777777" w:rsidR="00F05EB2" w:rsidRDefault="00F05EB2">
      <w:pPr>
        <w:pStyle w:val="D"/>
        <w:ind w:left="993" w:firstLine="0"/>
        <w:rPr>
          <w:color w:val="auto"/>
        </w:rPr>
      </w:pPr>
      <w:r>
        <w:rPr>
          <w:color w:val="auto"/>
        </w:rPr>
        <w:t>I</w:t>
      </w:r>
      <w:r>
        <w:rPr>
          <w:color w:val="auto"/>
          <w:vertAlign w:val="subscript"/>
        </w:rPr>
        <w:t xml:space="preserve">m </w:t>
      </w:r>
      <w:r>
        <w:rPr>
          <w:color w:val="auto"/>
        </w:rPr>
        <w:t>- az állandósult állapotbeli áramfelvétel maximuma</w:t>
      </w:r>
    </w:p>
    <w:p w14:paraId="38F85DDB" w14:textId="77777777" w:rsidR="00F05EB2" w:rsidRDefault="00F05EB2">
      <w:pPr>
        <w:pStyle w:val="Cmsor4"/>
        <w:rPr>
          <w:color w:val="auto"/>
        </w:rPr>
      </w:pPr>
      <w:bookmarkStart w:id="74" w:name="_Toc188769974"/>
      <w:bookmarkStart w:id="75" w:name="_Toc117592382"/>
      <w:bookmarkStart w:id="76" w:name="_Toc531430106"/>
      <w:r>
        <w:rPr>
          <w:color w:val="auto"/>
        </w:rPr>
        <w:t>6.1.4 A betelepített berendezés által az áramellátási csatlakozási felületre injektált zajfeszültségek megengedett szintjei:</w:t>
      </w:r>
      <w:bookmarkEnd w:id="74"/>
      <w:bookmarkEnd w:id="75"/>
      <w:bookmarkEnd w:id="76"/>
    </w:p>
    <w:p w14:paraId="38F85DDC" w14:textId="77777777" w:rsidR="00F05EB2" w:rsidRDefault="00F05EB2">
      <w:pPr>
        <w:pStyle w:val="Cmsor5"/>
        <w:rPr>
          <w:color w:val="auto"/>
        </w:rPr>
      </w:pPr>
      <w:r>
        <w:rPr>
          <w:color w:val="auto"/>
        </w:rPr>
        <w:t>6.1.4.1 Keskenysávú zavarkibocsátás 20kHz-ig</w:t>
      </w:r>
    </w:p>
    <w:p w14:paraId="38F85DDD" w14:textId="77777777" w:rsidR="00F05EB2" w:rsidRDefault="00F05EB2">
      <w:pPr>
        <w:pStyle w:val="D"/>
      </w:pPr>
      <w:r>
        <w:br/>
        <w:t>Az távközlő berendezés által az áramellátási csatlakoztatási felületre injektált zajfeszültség nem haladhatja meg az 2. ábra szerinti értéket.</w:t>
      </w:r>
    </w:p>
    <w:p w14:paraId="38F85DDE" w14:textId="77777777" w:rsidR="00F05EB2" w:rsidRDefault="00F05EB2">
      <w:pPr>
        <w:jc w:val="both"/>
      </w:pPr>
    </w:p>
    <w:p w14:paraId="38F85DDF" w14:textId="17B7B7D1" w:rsidR="00F05EB2" w:rsidRDefault="00740F04">
      <w:pPr>
        <w:jc w:val="center"/>
      </w:pPr>
      <w:r>
        <w:rPr>
          <w:noProof/>
        </w:rPr>
        <w:drawing>
          <wp:inline distT="0" distB="0" distL="0" distR="0" wp14:anchorId="38F85E64" wp14:editId="2AC66259">
            <wp:extent cx="5724525" cy="290512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85DE0" w14:textId="77777777" w:rsidR="00F05EB2" w:rsidRDefault="00F05EB2">
      <w:pPr>
        <w:jc w:val="both"/>
        <w:rPr>
          <w:b/>
        </w:rPr>
      </w:pPr>
    </w:p>
    <w:p w14:paraId="38F85DE1" w14:textId="77777777" w:rsidR="00F05EB2" w:rsidRDefault="00F05EB2">
      <w:pPr>
        <w:jc w:val="center"/>
      </w:pPr>
      <w:r>
        <w:t>2. ábra</w:t>
      </w:r>
    </w:p>
    <w:p w14:paraId="38F85DE2" w14:textId="77777777" w:rsidR="00F05EB2" w:rsidRDefault="00F05EB2">
      <w:pPr>
        <w:jc w:val="center"/>
      </w:pPr>
      <w:r>
        <w:t>A betelepített berendezések által az áramellátási csatlakoztatási felületre injektált zajfeszültség megengedett értékei</w:t>
      </w:r>
    </w:p>
    <w:p w14:paraId="38F85DE3" w14:textId="77777777" w:rsidR="00F05EB2" w:rsidRDefault="00F05EB2">
      <w:pPr>
        <w:pStyle w:val="Cmsor5"/>
        <w:rPr>
          <w:color w:val="auto"/>
        </w:rPr>
      </w:pPr>
      <w:r>
        <w:rPr>
          <w:color w:val="auto"/>
        </w:rPr>
        <w:t>6.1.4.2 Szélessávú zavarkibocsátás 20kHz-ig</w:t>
      </w:r>
    </w:p>
    <w:p w14:paraId="38F85DE4" w14:textId="77777777" w:rsidR="00F05EB2" w:rsidRDefault="00F05EB2">
      <w:pPr>
        <w:pStyle w:val="D"/>
      </w:pPr>
      <w:r>
        <w:br/>
        <w:t>A betelepítet</w:t>
      </w:r>
      <w:r w:rsidR="00DC1A26">
        <w:t>t</w:t>
      </w:r>
      <w:r>
        <w:t xml:space="preserve"> berendezés által az áramellátási csatlakoztatási felületre injektált szélessávú zajfeszültség nem haladhatja meg az alábbi értéket:</w:t>
      </w:r>
    </w:p>
    <w:p w14:paraId="38F85DE5" w14:textId="77777777" w:rsidR="00F05EB2" w:rsidRDefault="00F05EB2">
      <w:pPr>
        <w:pStyle w:val="E"/>
        <w:rPr>
          <w:color w:val="auto"/>
        </w:rPr>
      </w:pPr>
    </w:p>
    <w:p w14:paraId="38F85DE6" w14:textId="77777777" w:rsidR="00F05EB2" w:rsidRDefault="00F05EB2">
      <w:pPr>
        <w:pStyle w:val="E"/>
        <w:ind w:left="1560" w:firstLine="0"/>
        <w:rPr>
          <w:color w:val="auto"/>
        </w:rPr>
      </w:pPr>
      <w:r>
        <w:rPr>
          <w:color w:val="auto"/>
        </w:rPr>
        <w:t>25Hz-től 5 kHz-ig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U</w:t>
      </w:r>
      <w:r>
        <w:rPr>
          <w:color w:val="auto"/>
          <w:vertAlign w:val="subscript"/>
        </w:rPr>
        <w:t xml:space="preserve">psoeff </w:t>
      </w:r>
      <w:r>
        <w:rPr>
          <w:color w:val="auto"/>
        </w:rPr>
        <w:t>= 2 mV,</w:t>
      </w:r>
    </w:p>
    <w:p w14:paraId="38F85DE7" w14:textId="77777777" w:rsidR="00F05EB2" w:rsidRDefault="00F05EB2">
      <w:pPr>
        <w:pStyle w:val="D"/>
      </w:pPr>
      <w:r>
        <w:br/>
        <w:t>ahol U</w:t>
      </w:r>
      <w:r>
        <w:rPr>
          <w:vertAlign w:val="subscript"/>
        </w:rPr>
        <w:t>psoeff</w:t>
      </w:r>
      <w:r>
        <w:t xml:space="preserve"> pszofometrikus súlyozással (ITU-T O.41 ajánlás szerint) mért zajfeszültség,</w:t>
      </w:r>
    </w:p>
    <w:p w14:paraId="38F85DE8" w14:textId="77777777" w:rsidR="00F05EB2" w:rsidRDefault="00F05EB2">
      <w:pPr>
        <w:pStyle w:val="E"/>
        <w:rPr>
          <w:color w:val="auto"/>
        </w:rPr>
      </w:pPr>
    </w:p>
    <w:p w14:paraId="38F85DE9" w14:textId="77777777" w:rsidR="00F05EB2" w:rsidRDefault="00F05EB2">
      <w:pPr>
        <w:pStyle w:val="E"/>
        <w:ind w:left="1560" w:firstLine="0"/>
        <w:rPr>
          <w:color w:val="auto"/>
        </w:rPr>
      </w:pPr>
      <w:r>
        <w:rPr>
          <w:color w:val="auto"/>
        </w:rPr>
        <w:t>25 Hz-től 20 kHz-ig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U</w:t>
      </w:r>
      <w:r>
        <w:rPr>
          <w:color w:val="auto"/>
          <w:vertAlign w:val="subscript"/>
        </w:rPr>
        <w:t xml:space="preserve">rms </w:t>
      </w:r>
      <w:r>
        <w:rPr>
          <w:color w:val="auto"/>
        </w:rPr>
        <w:t>= 20 mV (súlyozatlan)</w:t>
      </w:r>
    </w:p>
    <w:p w14:paraId="38F85DEA" w14:textId="77777777" w:rsidR="00F05EB2" w:rsidRDefault="00F05EB2">
      <w:pPr>
        <w:pStyle w:val="D"/>
      </w:pPr>
      <w:r>
        <w:br/>
        <w:t>(A 20 KHz feletti zavarkibocsátásra vonatkozó határértékek az EMC követelményekkel foglalkozó részben találhatók).</w:t>
      </w:r>
    </w:p>
    <w:p w14:paraId="38F85DEB" w14:textId="77777777" w:rsidR="00F05EB2" w:rsidRDefault="00F05EB2">
      <w:pPr>
        <w:pStyle w:val="Cmsor4"/>
        <w:rPr>
          <w:color w:val="auto"/>
        </w:rPr>
      </w:pPr>
      <w:bookmarkStart w:id="77" w:name="_Toc188769975"/>
      <w:bookmarkStart w:id="78" w:name="_Toc117592383"/>
      <w:bookmarkStart w:id="79" w:name="_Toc531430107"/>
      <w:r>
        <w:rPr>
          <w:color w:val="auto"/>
        </w:rPr>
        <w:lastRenderedPageBreak/>
        <w:t>6.1.5 Betáplálások védelme az áramellátási csatlakozási felületnél</w:t>
      </w:r>
      <w:bookmarkEnd w:id="77"/>
      <w:bookmarkEnd w:id="78"/>
      <w:bookmarkEnd w:id="79"/>
    </w:p>
    <w:p w14:paraId="38F85DEC" w14:textId="77777777" w:rsidR="00F05EB2" w:rsidRDefault="00F05EB2">
      <w:pPr>
        <w:pStyle w:val="C"/>
      </w:pPr>
      <w:r>
        <w:br/>
        <w:t>A betelepített berendezések áramellátási csatlakozási felületét biztosítókkal vagy megszakítókkal leválaszthatóvá kell tenni.</w:t>
      </w:r>
    </w:p>
    <w:p w14:paraId="38F85DED" w14:textId="77777777" w:rsidR="00F05EB2" w:rsidRDefault="00F05EB2">
      <w:pPr>
        <w:pStyle w:val="Cmsor3"/>
        <w:rPr>
          <w:color w:val="auto"/>
        </w:rPr>
      </w:pPr>
      <w:bookmarkStart w:id="80" w:name="_Toc188769851"/>
      <w:bookmarkStart w:id="81" w:name="_Toc188769976"/>
      <w:bookmarkStart w:id="82" w:name="_Toc117592384"/>
      <w:bookmarkStart w:id="83" w:name="_Toc531430108"/>
      <w:r>
        <w:rPr>
          <w:color w:val="auto"/>
        </w:rPr>
        <w:t>6.2 A 230V AC tápellátási csatlakozási felületre vonatkozó követelmények</w:t>
      </w:r>
      <w:bookmarkEnd w:id="80"/>
      <w:bookmarkEnd w:id="81"/>
      <w:bookmarkEnd w:id="82"/>
      <w:bookmarkEnd w:id="83"/>
    </w:p>
    <w:p w14:paraId="38F85DEE" w14:textId="77777777" w:rsidR="00F05EB2" w:rsidRDefault="00F05EB2">
      <w:pPr>
        <w:pStyle w:val="Cmsor4"/>
      </w:pPr>
      <w:bookmarkStart w:id="84" w:name="_Toc188769977"/>
      <w:bookmarkStart w:id="85" w:name="_Toc117592385"/>
      <w:bookmarkStart w:id="86" w:name="_Toc531430109"/>
      <w:r>
        <w:t>6.2.1 Általános követelmény</w:t>
      </w:r>
      <w:bookmarkEnd w:id="84"/>
      <w:bookmarkEnd w:id="85"/>
      <w:bookmarkEnd w:id="86"/>
    </w:p>
    <w:p w14:paraId="38F85DEF" w14:textId="77777777" w:rsidR="00F05EB2" w:rsidRDefault="00F05EB2">
      <w:pPr>
        <w:pStyle w:val="C"/>
      </w:pPr>
      <w:r>
        <w:br/>
        <w:t>A Magyar Telekom a csatlakozási felületen 230V 50Hz névleges értékű váltakozó hálózati feszültséget szolgáltat.</w:t>
      </w:r>
    </w:p>
    <w:p w14:paraId="38F85DF0" w14:textId="77777777" w:rsidR="00F05EB2" w:rsidRDefault="00F05EB2">
      <w:pPr>
        <w:pStyle w:val="C"/>
      </w:pPr>
      <w:r>
        <w:br/>
        <w:t>Az áramellátási csatlakozási felületen teljesülniük kell az alább részletezett követelményeknek.</w:t>
      </w:r>
    </w:p>
    <w:p w14:paraId="38F85DF1" w14:textId="77777777" w:rsidR="00F05EB2" w:rsidRDefault="00F05EB2">
      <w:pPr>
        <w:pStyle w:val="Cmsor4"/>
        <w:rPr>
          <w:color w:val="auto"/>
        </w:rPr>
      </w:pPr>
      <w:bookmarkStart w:id="87" w:name="_Toc188769978"/>
      <w:bookmarkStart w:id="88" w:name="_Toc117592386"/>
      <w:bookmarkStart w:id="89" w:name="_Toc531430110"/>
      <w:r>
        <w:rPr>
          <w:color w:val="auto"/>
        </w:rPr>
        <w:t>6.2.2 A bemeneti feszültségtartomány</w:t>
      </w:r>
      <w:bookmarkEnd w:id="87"/>
      <w:bookmarkEnd w:id="88"/>
      <w:bookmarkEnd w:id="89"/>
    </w:p>
    <w:p w14:paraId="38F85DF2" w14:textId="77777777" w:rsidR="00F05EB2" w:rsidRDefault="00F05EB2">
      <w:pPr>
        <w:pStyle w:val="C"/>
      </w:pPr>
      <w:r>
        <w:br/>
        <w:t>A betelepített berendezésnek el kell viselnie a 230V</w:t>
      </w:r>
      <w:r>
        <w:sym w:font="Symbol" w:char="F0B1"/>
      </w:r>
      <w:r>
        <w:t>10% (207...253V) feszültségtartományt és a 48...52 Hz közötti frekvencia-ingadozást..</w:t>
      </w:r>
    </w:p>
    <w:p w14:paraId="38F85DF3" w14:textId="77777777" w:rsidR="00F05EB2" w:rsidRDefault="00F05EB2">
      <w:pPr>
        <w:pStyle w:val="Cmsor4"/>
        <w:rPr>
          <w:color w:val="auto"/>
        </w:rPr>
      </w:pPr>
      <w:bookmarkStart w:id="90" w:name="_Toc188769979"/>
      <w:bookmarkStart w:id="91" w:name="_Toc117592387"/>
      <w:bookmarkStart w:id="92" w:name="_Toc531430111"/>
      <w:r>
        <w:rPr>
          <w:color w:val="auto"/>
        </w:rPr>
        <w:t>6.2.3 A berendezés bekapcsolási áramlökése</w:t>
      </w:r>
      <w:bookmarkEnd w:id="90"/>
      <w:bookmarkEnd w:id="91"/>
      <w:bookmarkEnd w:id="92"/>
    </w:p>
    <w:p w14:paraId="38F85DF4" w14:textId="77777777" w:rsidR="00F05EB2" w:rsidRDefault="00F05EB2">
      <w:pPr>
        <w:pStyle w:val="C"/>
      </w:pPr>
      <w:r>
        <w:br/>
        <w:t>A távközlési berendezés bekapcsolási áramlökése nem lehet nagyobb az MSZ ETS 300 132-1 szabványban megadott ( 3. ábra szerinti) értéknél.</w:t>
      </w:r>
    </w:p>
    <w:p w14:paraId="38F85DF5" w14:textId="77777777" w:rsidR="00F05EB2" w:rsidRDefault="00F05EB2" w:rsidP="00B147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>
        <w:rPr>
          <w:b/>
        </w:rPr>
        <w:object w:dxaOrig="14407" w:dyaOrig="7885" w14:anchorId="38F85E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pt;height:232.5pt" o:ole="" fillcolor="window">
            <v:imagedata r:id="rId14" o:title=""/>
          </v:shape>
          <o:OLEObject Type="Embed" ProgID="MSDraw" ShapeID="_x0000_i1025" DrawAspect="Content" ObjectID="_1605173627" r:id="rId15"/>
        </w:object>
      </w:r>
    </w:p>
    <w:p w14:paraId="38F85DF6" w14:textId="77777777" w:rsidR="00F05EB2" w:rsidRDefault="00F05EB2">
      <w:pPr>
        <w:jc w:val="center"/>
      </w:pPr>
      <w:r>
        <w:t>3. ábra</w:t>
      </w:r>
    </w:p>
    <w:p w14:paraId="38F85DF7" w14:textId="77777777" w:rsidR="00F05EB2" w:rsidRDefault="00F05EB2">
      <w:pPr>
        <w:jc w:val="center"/>
      </w:pPr>
      <w:r>
        <w:t>A távközlési berendezés maximális bekapcsolási áramának karakterisztikája</w:t>
      </w:r>
    </w:p>
    <w:p w14:paraId="38F85DF8" w14:textId="77777777" w:rsidR="00F05EB2" w:rsidRDefault="00F05EB2">
      <w:pPr>
        <w:jc w:val="center"/>
      </w:pPr>
      <w:r>
        <w:t>(névleges feszültségen maximális terhelésnél)</w:t>
      </w:r>
    </w:p>
    <w:p w14:paraId="38F85DF9" w14:textId="77777777" w:rsidR="00F05EB2" w:rsidRDefault="00F05EB2">
      <w:pPr>
        <w:jc w:val="center"/>
      </w:pPr>
    </w:p>
    <w:p w14:paraId="38F85DFA" w14:textId="77777777" w:rsidR="00F05EB2" w:rsidRDefault="00F05EB2">
      <w:pPr>
        <w:pStyle w:val="D"/>
        <w:rPr>
          <w:color w:val="auto"/>
        </w:rPr>
      </w:pPr>
      <w:r>
        <w:rPr>
          <w:color w:val="auto"/>
        </w:rPr>
        <w:t>A 3. ábrán alkalmazott jelölések:</w:t>
      </w:r>
    </w:p>
    <w:p w14:paraId="38F85DFB" w14:textId="77777777" w:rsidR="00F05EB2" w:rsidRDefault="00F05EB2">
      <w:pPr>
        <w:pStyle w:val="D"/>
        <w:rPr>
          <w:color w:val="auto"/>
        </w:rPr>
      </w:pPr>
    </w:p>
    <w:p w14:paraId="38F85DFC" w14:textId="77777777" w:rsidR="00F05EB2" w:rsidRDefault="00F05EB2">
      <w:pPr>
        <w:pStyle w:val="D"/>
        <w:rPr>
          <w:color w:val="auto"/>
        </w:rPr>
      </w:pPr>
      <w:r>
        <w:rPr>
          <w:color w:val="auto"/>
        </w:rPr>
        <w:t>Ir - bekapcsolási áram pillanatértékének abszolút értéke</w:t>
      </w:r>
    </w:p>
    <w:p w14:paraId="38F85DFD" w14:textId="77777777" w:rsidR="00F05EB2" w:rsidRDefault="00F05EB2">
      <w:pPr>
        <w:pStyle w:val="D"/>
        <w:rPr>
          <w:color w:val="auto"/>
        </w:rPr>
      </w:pPr>
      <w:r>
        <w:rPr>
          <w:color w:val="auto"/>
        </w:rPr>
        <w:t>Ieff - az állandósult állapotbeli áramfelvétel maximuma</w:t>
      </w:r>
    </w:p>
    <w:p w14:paraId="38F85DFE" w14:textId="77777777" w:rsidR="00F05EB2" w:rsidRDefault="00F05EB2">
      <w:pPr>
        <w:pStyle w:val="Cmsor4"/>
      </w:pPr>
      <w:bookmarkStart w:id="93" w:name="_Toc188769980"/>
      <w:bookmarkStart w:id="94" w:name="_Toc117592388"/>
      <w:bookmarkStart w:id="95" w:name="_Toc531430112"/>
      <w:r>
        <w:lastRenderedPageBreak/>
        <w:t>6.2.4 A betelepített berendezés felvett áramának harmonikus tartama</w:t>
      </w:r>
      <w:bookmarkEnd w:id="93"/>
      <w:bookmarkEnd w:id="94"/>
      <w:bookmarkEnd w:id="95"/>
    </w:p>
    <w:p w14:paraId="38F85DFF" w14:textId="77777777" w:rsidR="00F05EB2" w:rsidRDefault="00F05EB2">
      <w:pPr>
        <w:pStyle w:val="C"/>
      </w:pPr>
      <w:r>
        <w:br/>
        <w:t>A betelepített berendezés bemeneti áramának harmonikus tartalma nem haladhatja nem az MSZ EN 61000-3-2 szabványban megadott értékeket.</w:t>
      </w:r>
    </w:p>
    <w:p w14:paraId="38F85E00" w14:textId="77777777" w:rsidR="00F05EB2" w:rsidRDefault="00F05EB2">
      <w:pPr>
        <w:pStyle w:val="Cmsor4"/>
        <w:rPr>
          <w:color w:val="auto"/>
        </w:rPr>
      </w:pPr>
      <w:bookmarkStart w:id="96" w:name="_Toc188769981"/>
      <w:bookmarkStart w:id="97" w:name="_Toc117592389"/>
      <w:bookmarkStart w:id="98" w:name="_Toc531430113"/>
      <w:r>
        <w:rPr>
          <w:color w:val="auto"/>
        </w:rPr>
        <w:t>6.2.5 Betáplálások védelme az áramellátási interfésznél</w:t>
      </w:r>
      <w:bookmarkEnd w:id="96"/>
      <w:bookmarkEnd w:id="97"/>
      <w:bookmarkEnd w:id="98"/>
    </w:p>
    <w:p w14:paraId="38F85E01" w14:textId="77777777" w:rsidR="00F05EB2" w:rsidRDefault="00F05EB2">
      <w:pPr>
        <w:pStyle w:val="C"/>
      </w:pPr>
      <w:r>
        <w:br/>
        <w:t>A betelepített berendezések az áramellátási csatlakozási felületét biztosítókkal vagy megszakítókkal leválaszthatóvá kell tenni.</w:t>
      </w:r>
    </w:p>
    <w:p w14:paraId="38F85E02" w14:textId="77777777" w:rsidR="00F05EB2" w:rsidRDefault="00F05EB2">
      <w:pPr>
        <w:pStyle w:val="C"/>
      </w:pPr>
      <w:r>
        <w:br/>
        <w:t>A fejezetben említett szabványok:</w:t>
      </w:r>
    </w:p>
    <w:p w14:paraId="38F85E03" w14:textId="77777777" w:rsidR="00F05EB2" w:rsidRDefault="00F05EB2">
      <w:pPr>
        <w:pStyle w:val="D"/>
        <w:rPr>
          <w:color w:val="auto"/>
        </w:rPr>
      </w:pPr>
    </w:p>
    <w:p w14:paraId="38F85E04" w14:textId="77777777" w:rsidR="00F05EB2" w:rsidRDefault="00F05EB2">
      <w:pPr>
        <w:pStyle w:val="D"/>
        <w:ind w:left="1134" w:firstLine="0"/>
        <w:rPr>
          <w:color w:val="auto"/>
        </w:rPr>
      </w:pPr>
      <w:r>
        <w:rPr>
          <w:color w:val="auto"/>
        </w:rPr>
        <w:t>MSZ ETS 300 132-1: Berendezéstervezés (EE). Távközl</w:t>
      </w:r>
      <w:r w:rsidR="00AB0681">
        <w:rPr>
          <w:color w:val="auto"/>
        </w:rPr>
        <w:t>ő</w:t>
      </w:r>
      <w:r>
        <w:rPr>
          <w:color w:val="auto"/>
        </w:rPr>
        <w:t xml:space="preserve"> berendezések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bemeneti tápegység-interfésze</w:t>
      </w:r>
    </w:p>
    <w:p w14:paraId="38F85E05" w14:textId="77777777" w:rsidR="00F05EB2" w:rsidRDefault="00F05EB2">
      <w:pPr>
        <w:pStyle w:val="D"/>
        <w:ind w:left="1134" w:firstLine="0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1. rész: Egyen-váltó átalakítóval, váltakozó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feszültségr</w:t>
      </w:r>
      <w:r w:rsidR="00AB0681">
        <w:rPr>
          <w:color w:val="auto"/>
        </w:rPr>
        <w:t>ő</w:t>
      </w:r>
      <w:r>
        <w:rPr>
          <w:color w:val="auto"/>
        </w:rPr>
        <w:t>l m</w:t>
      </w:r>
      <w:r w:rsidR="00AB0681">
        <w:rPr>
          <w:color w:val="auto"/>
        </w:rPr>
        <w:t>ű</w:t>
      </w:r>
      <w:r>
        <w:rPr>
          <w:color w:val="auto"/>
        </w:rPr>
        <w:t>köd</w:t>
      </w:r>
      <w:r w:rsidR="00AB0681">
        <w:rPr>
          <w:color w:val="auto"/>
        </w:rPr>
        <w:t>ő</w:t>
      </w:r>
      <w:r>
        <w:rPr>
          <w:color w:val="auto"/>
        </w:rPr>
        <w:t xml:space="preserve"> berendezések</w:t>
      </w:r>
    </w:p>
    <w:p w14:paraId="38F85E06" w14:textId="77777777" w:rsidR="00F05EB2" w:rsidRDefault="00F05EB2">
      <w:pPr>
        <w:pStyle w:val="D"/>
        <w:rPr>
          <w:color w:val="auto"/>
        </w:rPr>
      </w:pPr>
    </w:p>
    <w:p w14:paraId="38F85E07" w14:textId="77777777" w:rsidR="00F05EB2" w:rsidRDefault="00F05EB2">
      <w:pPr>
        <w:pStyle w:val="D"/>
        <w:ind w:left="1134" w:firstLine="0"/>
        <w:rPr>
          <w:color w:val="auto"/>
        </w:rPr>
      </w:pPr>
      <w:r>
        <w:rPr>
          <w:color w:val="auto"/>
        </w:rPr>
        <w:t>MSZ ETS 300 132-2: Berendezéstervezés (EE). Távközl</w:t>
      </w:r>
      <w:r w:rsidR="00AB0681">
        <w:rPr>
          <w:color w:val="auto"/>
        </w:rPr>
        <w:t>ő</w:t>
      </w:r>
      <w:r>
        <w:rPr>
          <w:color w:val="auto"/>
        </w:rPr>
        <w:t xml:space="preserve"> berendezések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bemeneti tápegység-interfésze</w:t>
      </w:r>
    </w:p>
    <w:p w14:paraId="38F85E08" w14:textId="77777777" w:rsidR="00F05EB2" w:rsidRDefault="00F05EB2">
      <w:pPr>
        <w:pStyle w:val="D"/>
        <w:ind w:left="4320" w:firstLine="6"/>
        <w:jc w:val="left"/>
        <w:rPr>
          <w:color w:val="auto"/>
        </w:rPr>
      </w:pPr>
      <w:r>
        <w:rPr>
          <w:color w:val="auto"/>
        </w:rPr>
        <w:t>2. rész: Egyenfeszültségr</w:t>
      </w:r>
      <w:r w:rsidR="00AB0681">
        <w:rPr>
          <w:color w:val="auto"/>
        </w:rPr>
        <w:t>ő</w:t>
      </w:r>
      <w:r>
        <w:rPr>
          <w:color w:val="auto"/>
        </w:rPr>
        <w:t>l m</w:t>
      </w:r>
      <w:r w:rsidR="00AB0681">
        <w:rPr>
          <w:color w:val="auto"/>
        </w:rPr>
        <w:t>ű</w:t>
      </w:r>
      <w:r>
        <w:rPr>
          <w:color w:val="auto"/>
        </w:rPr>
        <w:t>köd</w:t>
      </w:r>
      <w:r w:rsidR="00AB0681">
        <w:rPr>
          <w:color w:val="auto"/>
        </w:rPr>
        <w:t>ő</w:t>
      </w:r>
      <w:r>
        <w:rPr>
          <w:color w:val="auto"/>
        </w:rPr>
        <w:t xml:space="preserve"> berendezések</w:t>
      </w:r>
    </w:p>
    <w:p w14:paraId="38F85E09" w14:textId="77777777" w:rsidR="00F05EB2" w:rsidRDefault="00F05EB2">
      <w:pPr>
        <w:pStyle w:val="D"/>
        <w:ind w:left="1134" w:firstLine="0"/>
        <w:rPr>
          <w:color w:val="auto"/>
        </w:rPr>
      </w:pPr>
      <w:r>
        <w:rPr>
          <w:color w:val="auto"/>
        </w:rPr>
        <w:t>MSZ EN 61000-3-2: Elektromágneses összeférhet</w:t>
      </w:r>
      <w:r w:rsidR="00AB0681">
        <w:rPr>
          <w:color w:val="auto"/>
        </w:rPr>
        <w:t>ő</w:t>
      </w:r>
      <w:r>
        <w:rPr>
          <w:color w:val="auto"/>
        </w:rPr>
        <w:t>ség (EMC)</w:t>
      </w:r>
    </w:p>
    <w:p w14:paraId="38F85E0A" w14:textId="77777777" w:rsidR="00F05EB2" w:rsidRDefault="00F05EB2">
      <w:pPr>
        <w:pStyle w:val="D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3. rész: Határértékek</w:t>
      </w:r>
    </w:p>
    <w:p w14:paraId="38F85E0B" w14:textId="77777777" w:rsidR="00F05EB2" w:rsidRDefault="00F05EB2">
      <w:pPr>
        <w:pStyle w:val="D"/>
        <w:ind w:left="1134" w:firstLine="0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2. f</w:t>
      </w:r>
      <w:r w:rsidR="00AB0681">
        <w:rPr>
          <w:color w:val="auto"/>
        </w:rPr>
        <w:t>ő</w:t>
      </w:r>
      <w:r>
        <w:rPr>
          <w:color w:val="auto"/>
        </w:rPr>
        <w:t xml:space="preserve">fejezet: Felharmonikus áramok határértékei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(fázisonként 16A bemen</w:t>
      </w:r>
      <w:r w:rsidR="00AB0681">
        <w:rPr>
          <w:color w:val="auto"/>
        </w:rPr>
        <w:t>ő</w:t>
      </w:r>
      <w:r>
        <w:rPr>
          <w:color w:val="auto"/>
        </w:rPr>
        <w:t xml:space="preserve"> áramer</w:t>
      </w:r>
      <w:r w:rsidR="00AB0681">
        <w:rPr>
          <w:color w:val="auto"/>
        </w:rPr>
        <w:t>ő</w:t>
      </w:r>
      <w:r>
        <w:rPr>
          <w:color w:val="auto"/>
        </w:rPr>
        <w:t>sséget meg</w:t>
      </w:r>
    </w:p>
    <w:p w14:paraId="38F85E0C" w14:textId="77777777" w:rsidR="00F05EB2" w:rsidRDefault="00F05EB2">
      <w:pPr>
        <w:pStyle w:val="D"/>
        <w:ind w:left="4014" w:firstLine="306"/>
        <w:rPr>
          <w:color w:val="auto"/>
        </w:rPr>
      </w:pPr>
      <w:r>
        <w:rPr>
          <w:color w:val="auto"/>
        </w:rPr>
        <w:t xml:space="preserve"> nem haladó berendezésekre</w:t>
      </w:r>
    </w:p>
    <w:p w14:paraId="38F85E0D" w14:textId="77777777" w:rsidR="00F05EB2" w:rsidRDefault="00F05EB2">
      <w:pPr>
        <w:pStyle w:val="Cmsor2"/>
        <w:rPr>
          <w:color w:val="auto"/>
        </w:rPr>
      </w:pPr>
      <w:bookmarkStart w:id="99" w:name="_Toc188769852"/>
      <w:bookmarkStart w:id="100" w:name="_Toc188769982"/>
      <w:bookmarkStart w:id="101" w:name="_Toc117592390"/>
      <w:bookmarkStart w:id="102" w:name="_Toc531430114"/>
      <w:r>
        <w:rPr>
          <w:color w:val="auto"/>
        </w:rPr>
        <w:t xml:space="preserve">7. Környezetvédelmi </w:t>
      </w:r>
      <w:r w:rsidR="00AC0C93">
        <w:rPr>
          <w:color w:val="auto"/>
        </w:rPr>
        <w:t xml:space="preserve">és környezetállósági </w:t>
      </w:r>
      <w:r>
        <w:rPr>
          <w:color w:val="auto"/>
        </w:rPr>
        <w:t>szempontú</w:t>
      </w:r>
      <w:r w:rsidR="00276558">
        <w:rPr>
          <w:color w:val="auto"/>
        </w:rPr>
        <w:t xml:space="preserve"> </w:t>
      </w:r>
      <w:r>
        <w:rPr>
          <w:color w:val="auto"/>
        </w:rPr>
        <w:t>minősítés</w:t>
      </w:r>
      <w:bookmarkEnd w:id="99"/>
      <w:bookmarkEnd w:id="100"/>
      <w:bookmarkEnd w:id="101"/>
      <w:bookmarkEnd w:id="102"/>
    </w:p>
    <w:p w14:paraId="38F85E0E" w14:textId="77777777" w:rsidR="00F05EB2" w:rsidRDefault="00F05EB2">
      <w:pPr>
        <w:pStyle w:val="A"/>
      </w:pPr>
      <w:r>
        <w:br/>
        <w:t>A környezetvédelmi szempontú ellenőrzés és minősítés érdekében a Jogosultnak az alábbi szempontú nyilatkozatokat és anyagokat kell a Magyar Telekom rendelkezésére bocsátania:</w:t>
      </w:r>
    </w:p>
    <w:p w14:paraId="38F85E0F" w14:textId="77777777" w:rsidR="00F05EB2" w:rsidRDefault="00F05EB2">
      <w:pPr>
        <w:pStyle w:val="B"/>
      </w:pPr>
    </w:p>
    <w:p w14:paraId="38F85E10" w14:textId="77777777" w:rsidR="00F05EB2" w:rsidRDefault="00F05EB2">
      <w:pPr>
        <w:pStyle w:val="B"/>
      </w:pPr>
      <w:r>
        <w:rPr>
          <w:b/>
        </w:rPr>
        <w:t>a) </w:t>
      </w:r>
      <w:r>
        <w:t>Szerkezeti anyagok és bevonatok áttekintéséhez és minősítéséhez szükséges az eszközökben (szerelvények, berendezések, tartozékok, stb.) a gyártó által alkalmazott szerkezeti anyagok és bevonatok listája.</w:t>
      </w:r>
    </w:p>
    <w:p w14:paraId="38F85E11" w14:textId="77777777" w:rsidR="00F05EB2" w:rsidRDefault="00F05EB2">
      <w:pPr>
        <w:pStyle w:val="B"/>
      </w:pPr>
    </w:p>
    <w:p w14:paraId="38F85E12" w14:textId="77777777" w:rsidR="00F05EB2" w:rsidRDefault="00F05EB2">
      <w:pPr>
        <w:pStyle w:val="B"/>
      </w:pPr>
      <w:r>
        <w:rPr>
          <w:b/>
        </w:rPr>
        <w:t>b) </w:t>
      </w:r>
      <w:r>
        <w:t xml:space="preserve">Tűzrendészeti szempontból szükséges a betelepített eszközökben alkalmazott veszélyes anyagok listája, amely tartalmazza azok megnevezését és tömegét. A betelepülésnél alkalmazott berendezésekben az anyagok veszélyességét a 98/2001. (VI.15.) </w:t>
      </w:r>
      <w:r w:rsidR="00AB0681">
        <w:t>Kormány</w:t>
      </w:r>
      <w:r>
        <w:t xml:space="preserve">rendelet szerint kell meghatározni. </w:t>
      </w:r>
    </w:p>
    <w:p w14:paraId="38F85E13" w14:textId="77777777" w:rsidR="00F05EB2" w:rsidRDefault="00F05EB2">
      <w:pPr>
        <w:pStyle w:val="B"/>
      </w:pPr>
      <w:r>
        <w:rPr>
          <w:b/>
        </w:rPr>
        <w:br/>
      </w:r>
      <w:r>
        <w:t>Amennyiben a berendezésben veszélyesnek minősülő anyag(ok) vannak, akkor a Jogosultnak a 2000. évi XXV. Törvény 3.§ szerint nyilatkozatot kell tennie a berendezés veszélyes anyag tartalmára vonatkozóan.</w:t>
      </w:r>
    </w:p>
    <w:p w14:paraId="38F85E14" w14:textId="77777777" w:rsidR="00F05EB2" w:rsidRDefault="00F05EB2">
      <w:pPr>
        <w:pStyle w:val="B"/>
      </w:pPr>
    </w:p>
    <w:p w14:paraId="38F85E15" w14:textId="77777777" w:rsidR="006B3EEA" w:rsidRDefault="006B3EEA" w:rsidP="00AB0681">
      <w:pPr>
        <w:autoSpaceDE w:val="0"/>
        <w:autoSpaceDN w:val="0"/>
        <w:adjustRightInd w:val="0"/>
        <w:spacing w:line="240" w:lineRule="atLeast"/>
        <w:ind w:left="510"/>
        <w:rPr>
          <w:rFonts w:eastAsia="Times New Roman"/>
          <w:color w:val="000000"/>
          <w:szCs w:val="24"/>
        </w:rPr>
      </w:pPr>
      <w:r w:rsidRPr="006B3EEA">
        <w:rPr>
          <w:rFonts w:eastAsia="Times New Roman"/>
          <w:b/>
          <w:color w:val="000000"/>
          <w:szCs w:val="24"/>
        </w:rPr>
        <w:t>c)</w:t>
      </w:r>
      <w:r>
        <w:rPr>
          <w:rFonts w:eastAsia="Times New Roman"/>
          <w:color w:val="000000"/>
          <w:szCs w:val="24"/>
        </w:rPr>
        <w:t xml:space="preserve"> A telepítésre kerülő aktív és passzív eszközök üzemeltetési, környezetállósági</w:t>
      </w:r>
      <w:r w:rsidR="00AB0681">
        <w:rPr>
          <w:rFonts w:eastAsia="Times New Roman"/>
          <w:color w:val="000000"/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 xml:space="preserve">jellemzői feleljenek meg </w:t>
      </w:r>
      <w:r w:rsidR="00704277">
        <w:rPr>
          <w:rFonts w:eastAsia="Times New Roman"/>
          <w:color w:val="000000"/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>az MSZ EN 300 019-1-3 szabvány 3.1 osztály „Szabályozott hőmérsékletű elhelyezés”követelményeinek.</w:t>
      </w:r>
      <w:r w:rsidR="00AB0681">
        <w:rPr>
          <w:rFonts w:eastAsia="Times New Roman"/>
          <w:color w:val="000000"/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>Az ezt igazoló vizsgálati jegyzőkönyv az eszköz műszaki dokumentációjának részét képezze.</w:t>
      </w:r>
    </w:p>
    <w:p w14:paraId="38F85E16" w14:textId="77777777" w:rsidR="006B3EEA" w:rsidRDefault="006B3EEA" w:rsidP="00AB0681">
      <w:pPr>
        <w:pStyle w:val="B"/>
        <w:rPr>
          <w:rFonts w:eastAsia="Times New Roman"/>
          <w:szCs w:val="24"/>
        </w:rPr>
      </w:pPr>
    </w:p>
    <w:p w14:paraId="38F85E17" w14:textId="77777777" w:rsidR="006B3EEA" w:rsidRDefault="006B3EEA" w:rsidP="00AB0681">
      <w:pPr>
        <w:pStyle w:val="B"/>
      </w:pPr>
      <w:r>
        <w:rPr>
          <w:b/>
        </w:rPr>
        <w:lastRenderedPageBreak/>
        <w:t xml:space="preserve"> d) </w:t>
      </w:r>
      <w:r>
        <w:rPr>
          <w:color w:val="auto"/>
        </w:rPr>
        <w:t xml:space="preserve">Jogosult </w:t>
      </w:r>
      <w:r w:rsidRPr="00AB0681">
        <w:rPr>
          <w:color w:val="auto"/>
        </w:rPr>
        <w:t>által</w:t>
      </w:r>
      <w:r>
        <w:rPr>
          <w:color w:val="auto"/>
        </w:rPr>
        <w:t xml:space="preserve"> telepített eszközök és berendezések elhelyezésével, </w:t>
      </w:r>
      <w:r>
        <w:t>üzemeltetésével kapcsolatos hőtechnikai tervezés a Jogosult felelőssége.</w:t>
      </w:r>
    </w:p>
    <w:p w14:paraId="38F85E18" w14:textId="77777777" w:rsidR="006B3EEA" w:rsidRDefault="006B3EEA" w:rsidP="006B3EEA">
      <w:pPr>
        <w:pStyle w:val="B"/>
      </w:pPr>
    </w:p>
    <w:p w14:paraId="38F85E19" w14:textId="77777777" w:rsidR="006B3EEA" w:rsidRDefault="006B3EEA" w:rsidP="00AB0681">
      <w:pPr>
        <w:pStyle w:val="B"/>
      </w:pPr>
      <w:r>
        <w:rPr>
          <w:b/>
        </w:rPr>
        <w:t>e) </w:t>
      </w:r>
      <w:r>
        <w:rPr>
          <w:color w:val="auto"/>
        </w:rPr>
        <w:t>Jogosult által telepített eszközök, berendezések burkolati elemeinek éghetőségi</w:t>
      </w:r>
      <w:r>
        <w:t xml:space="preserve"> fokozata legalább az MSZ EN 60950 szerinti V-1 osztályú legyen. </w:t>
      </w:r>
    </w:p>
    <w:p w14:paraId="38F85E1A" w14:textId="77777777" w:rsidR="00F05EB2" w:rsidRDefault="00F05EB2">
      <w:pPr>
        <w:pStyle w:val="B"/>
      </w:pPr>
    </w:p>
    <w:p w14:paraId="38F85E2F" w14:textId="77777777" w:rsidR="00F05EB2" w:rsidRDefault="00F05EB2">
      <w:pPr>
        <w:pStyle w:val="A"/>
      </w:pPr>
      <w:r>
        <w:br/>
        <w:t>A fentiekre jelenleg érvényes törvények és jogszabályok:</w:t>
      </w:r>
    </w:p>
    <w:p w14:paraId="38F85E30" w14:textId="77777777" w:rsidR="00F05EB2" w:rsidRDefault="00F05EB2">
      <w:pPr>
        <w:pStyle w:val="A"/>
      </w:pPr>
    </w:p>
    <w:p w14:paraId="38F85E31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1994. évi LV. törvény</w:t>
      </w:r>
      <w:r>
        <w:rPr>
          <w:color w:val="auto"/>
        </w:rPr>
        <w:t xml:space="preserve"> a termőföldről</w:t>
      </w:r>
    </w:p>
    <w:p w14:paraId="38F85E32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1995. évi LVII. törvény</w:t>
      </w:r>
      <w:r>
        <w:rPr>
          <w:color w:val="auto"/>
        </w:rPr>
        <w:t xml:space="preserve"> a vízgazdálkodásról</w:t>
      </w:r>
    </w:p>
    <w:p w14:paraId="38F85E33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21/2001. (II.14) Kormányrendelet</w:t>
      </w:r>
      <w:r>
        <w:rPr>
          <w:color w:val="auto"/>
        </w:rPr>
        <w:t xml:space="preserve"> a levegő védelmével kapcsolatos egyes szabályokról</w:t>
      </w:r>
    </w:p>
    <w:p w14:paraId="38F85E34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14/2001. (V. 9.) KÖM-EüM-FVM együttes rendelet</w:t>
      </w:r>
      <w:r>
        <w:rPr>
          <w:color w:val="auto"/>
        </w:rPr>
        <w:t xml:space="preserve"> a légszennyezettségi határértékekről, a helyhez kötött légszennyező pontforrások kibocsátási határértékeiről</w:t>
      </w:r>
    </w:p>
    <w:p w14:paraId="38F85E35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1996. évi LIII. törvény</w:t>
      </w:r>
      <w:r>
        <w:rPr>
          <w:color w:val="auto"/>
        </w:rPr>
        <w:t xml:space="preserve"> a természet védelméről</w:t>
      </w:r>
    </w:p>
    <w:p w14:paraId="38F85E36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1997. évi LXXVIII. törvény</w:t>
      </w:r>
      <w:r>
        <w:rPr>
          <w:color w:val="auto"/>
        </w:rPr>
        <w:t xml:space="preserve"> az épített környezet alakításáról és védelméről</w:t>
      </w:r>
    </w:p>
    <w:p w14:paraId="38F85E37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29/1999. (X.6.) KHVM rendelet</w:t>
      </w:r>
      <w:r>
        <w:rPr>
          <w:color w:val="auto"/>
        </w:rPr>
        <w:t xml:space="preserve"> a távközlési építmények engedélyezéséről és ellenőrzéséről</w:t>
      </w:r>
    </w:p>
    <w:p w14:paraId="38F85E38" w14:textId="77777777" w:rsidR="00F05EB2" w:rsidRDefault="00F05EB2">
      <w:pPr>
        <w:pStyle w:val="B"/>
        <w:rPr>
          <w:color w:val="auto"/>
        </w:rPr>
      </w:pPr>
      <w:r>
        <w:rPr>
          <w:b/>
          <w:color w:val="auto"/>
        </w:rPr>
        <w:t>2000. évi XLIII. törvény</w:t>
      </w:r>
      <w:r>
        <w:rPr>
          <w:color w:val="auto"/>
        </w:rPr>
        <w:t xml:space="preserve"> a hulladékgazdálkodásról</w:t>
      </w:r>
    </w:p>
    <w:p w14:paraId="38F85E39" w14:textId="77777777" w:rsidR="00F05EB2" w:rsidRDefault="00F05EB2">
      <w:pPr>
        <w:pStyle w:val="B"/>
        <w:rPr>
          <w:color w:val="auto"/>
        </w:rPr>
      </w:pPr>
      <w:r>
        <w:rPr>
          <w:b/>
        </w:rPr>
        <w:t>98/2001.(VI.15.)</w:t>
      </w:r>
      <w:r>
        <w:t xml:space="preserve"> </w:t>
      </w:r>
      <w:r>
        <w:rPr>
          <w:b/>
        </w:rPr>
        <w:t>Kormányrendelet</w:t>
      </w:r>
      <w:r>
        <w:t xml:space="preserve"> a veszélyes hulladékkal kapcsolatos tevékenységek végzésének feltételeiről</w:t>
      </w:r>
      <w:r>
        <w:rPr>
          <w:b/>
          <w:color w:val="auto"/>
        </w:rPr>
        <w:t xml:space="preserve"> 12/1983. (V. 12.) MT rendelet</w:t>
      </w:r>
      <w:r>
        <w:rPr>
          <w:color w:val="auto"/>
        </w:rPr>
        <w:t xml:space="preserve"> a zaj- és rezgésvédelemről</w:t>
      </w:r>
    </w:p>
    <w:p w14:paraId="38F85E3A" w14:textId="67366500" w:rsidR="00F05EB2" w:rsidRDefault="00F05EB2">
      <w:pPr>
        <w:pStyle w:val="Cmsor2"/>
        <w:rPr>
          <w:color w:val="auto"/>
        </w:rPr>
      </w:pPr>
      <w:bookmarkStart w:id="103" w:name="_Toc188769853"/>
      <w:bookmarkStart w:id="104" w:name="_Toc188769983"/>
      <w:bookmarkStart w:id="105" w:name="_Toc117592391"/>
      <w:bookmarkStart w:id="106" w:name="_Toc531430115"/>
      <w:smartTag w:uri="urn:schemas-microsoft-com:office:smarttags" w:element="metricconverter">
        <w:smartTagPr>
          <w:attr w:name="ProductID" w:val="8.ﾠA"/>
        </w:smartTagPr>
        <w:r>
          <w:rPr>
            <w:color w:val="auto"/>
          </w:rPr>
          <w:t>8. A</w:t>
        </w:r>
      </w:smartTag>
      <w:r>
        <w:rPr>
          <w:color w:val="auto"/>
        </w:rPr>
        <w:t xml:space="preserve"> </w:t>
      </w:r>
      <w:r w:rsidR="00916930">
        <w:rPr>
          <w:color w:val="auto"/>
        </w:rPr>
        <w:t>Berendezés Alkalmassági</w:t>
      </w:r>
      <w:r>
        <w:rPr>
          <w:color w:val="auto"/>
        </w:rPr>
        <w:t xml:space="preserve"> </w:t>
      </w:r>
      <w:r w:rsidR="003348E8">
        <w:rPr>
          <w:color w:val="auto"/>
        </w:rPr>
        <w:t>vizsgálat</w:t>
      </w:r>
      <w:r w:rsidR="00F63506">
        <w:rPr>
          <w:color w:val="auto"/>
        </w:rPr>
        <w:t xml:space="preserve"> </w:t>
      </w:r>
      <w:r>
        <w:rPr>
          <w:color w:val="auto"/>
        </w:rPr>
        <w:t>értékelése</w:t>
      </w:r>
      <w:bookmarkEnd w:id="103"/>
      <w:bookmarkEnd w:id="104"/>
      <w:bookmarkEnd w:id="105"/>
      <w:bookmarkEnd w:id="106"/>
    </w:p>
    <w:p w14:paraId="38F85E3B" w14:textId="77777777" w:rsidR="00F05EB2" w:rsidRDefault="00F05EB2">
      <w:pPr>
        <w:pStyle w:val="B"/>
      </w:pPr>
    </w:p>
    <w:p w14:paraId="38F85E3C" w14:textId="63DC2211" w:rsidR="00F05EB2" w:rsidRDefault="00F05EB2">
      <w:pPr>
        <w:pStyle w:val="B"/>
      </w:pPr>
      <w:r>
        <w:rPr>
          <w:b/>
        </w:rPr>
        <w:t>8.1 </w:t>
      </w:r>
      <w:r w:rsidR="00CB0926">
        <w:rPr>
          <w:rFonts w:cs="Arial"/>
        </w:rPr>
        <w:t>A Berendezés Alkalmassági Vizsgálatot a Magyar Telekom 15 nap alatt végzi el.</w:t>
      </w:r>
    </w:p>
    <w:p w14:paraId="38F85E3D" w14:textId="77777777" w:rsidR="00F05EB2" w:rsidRDefault="00F05EB2">
      <w:pPr>
        <w:pStyle w:val="B"/>
      </w:pPr>
    </w:p>
    <w:p w14:paraId="38F85E3E" w14:textId="017C73C5" w:rsidR="00F05EB2" w:rsidRDefault="00F05EB2">
      <w:pPr>
        <w:pStyle w:val="B"/>
      </w:pPr>
      <w:r>
        <w:rPr>
          <w:b/>
        </w:rPr>
        <w:t>8.2 </w:t>
      </w:r>
      <w:r>
        <w:t xml:space="preserve">A </w:t>
      </w:r>
      <w:r w:rsidR="00AC3515">
        <w:t xml:space="preserve"> Berendezés Alkalmassági Vizsgálat</w:t>
      </w:r>
      <w:r w:rsidR="008C25BD">
        <w:t xml:space="preserve"> </w:t>
      </w:r>
      <w:r w:rsidR="001127AE">
        <w:t>minősítésé</w:t>
      </w:r>
      <w:r>
        <w:t>n</w:t>
      </w:r>
      <w:r w:rsidR="001127AE">
        <w:t>e</w:t>
      </w:r>
      <w:r>
        <w:t xml:space="preserve">k </w:t>
      </w:r>
      <w:r w:rsidR="001F0749">
        <w:t>három</w:t>
      </w:r>
      <w:r>
        <w:t>féle értékelése lehet</w:t>
      </w:r>
      <w:r w:rsidR="00835F2A">
        <w:t xml:space="preserve">, amelyet a Kötelezett – az eddigi gyakorlatnak megfelelően – „Szakvélemény” formában </w:t>
      </w:r>
      <w:r w:rsidR="00AC3515">
        <w:t>írásban adja át a Jogosult Szolgáltató számára</w:t>
      </w:r>
      <w:r>
        <w:t>:</w:t>
      </w:r>
    </w:p>
    <w:p w14:paraId="38F85E3F" w14:textId="77777777" w:rsidR="00F05EB2" w:rsidRDefault="00F05EB2">
      <w:pPr>
        <w:pStyle w:val="C"/>
      </w:pPr>
    </w:p>
    <w:p w14:paraId="38F85E40" w14:textId="77777777" w:rsidR="00F05EB2" w:rsidRDefault="00AB0681" w:rsidP="00AB0681">
      <w:pPr>
        <w:pStyle w:val="C"/>
      </w:pPr>
      <w:r>
        <w:rPr>
          <w:b/>
        </w:rPr>
        <w:t>a) </w:t>
      </w:r>
      <w:r w:rsidR="00F05EB2">
        <w:t>A</w:t>
      </w:r>
      <w:r w:rsidR="001F0749">
        <w:t xml:space="preserve"> berendezés</w:t>
      </w:r>
      <w:r w:rsidR="00F05EB2">
        <w:t xml:space="preserve"> </w:t>
      </w:r>
      <w:r w:rsidR="001F0749">
        <w:t>„</w:t>
      </w:r>
      <w:r w:rsidR="00F05EB2">
        <w:t>megfelelő</w:t>
      </w:r>
      <w:r w:rsidR="001F0749">
        <w:t>”</w:t>
      </w:r>
      <w:r w:rsidR="0046264A">
        <w:t xml:space="preserve"> </w:t>
      </w:r>
      <w:r w:rsidR="001F0749">
        <w:t xml:space="preserve">így </w:t>
      </w:r>
      <w:r w:rsidR="00F05EB2">
        <w:t>a Magyar Telekom objektumában telepíthető, a hálózattal összekapcsolható.</w:t>
      </w:r>
    </w:p>
    <w:p w14:paraId="38F85E41" w14:textId="77777777" w:rsidR="001F0749" w:rsidRDefault="001F0749" w:rsidP="001F0749">
      <w:pPr>
        <w:pStyle w:val="C"/>
      </w:pPr>
    </w:p>
    <w:p w14:paraId="38F85E42" w14:textId="77777777" w:rsidR="001F0749" w:rsidRDefault="00AB0681" w:rsidP="00AB0681">
      <w:pPr>
        <w:pStyle w:val="C"/>
      </w:pPr>
      <w:r>
        <w:rPr>
          <w:b/>
        </w:rPr>
        <w:t>b) </w:t>
      </w:r>
      <w:r w:rsidR="001F0749">
        <w:t>A berendezés „korlátozással megfelelő”, így a Magyar Telekom objektumában telepíthető, a hálózattal összekapcsolható.</w:t>
      </w:r>
    </w:p>
    <w:p w14:paraId="38F85E43" w14:textId="1E72078A" w:rsidR="001F0749" w:rsidRDefault="00AB0681" w:rsidP="00AB0681">
      <w:pPr>
        <w:pStyle w:val="C"/>
      </w:pPr>
      <w:r>
        <w:br/>
      </w:r>
      <w:r w:rsidR="001F0749">
        <w:t>A korlátozás lehet például több funkciós berendezés esetén</w:t>
      </w:r>
      <w:r w:rsidR="0067322A">
        <w:t>,</w:t>
      </w:r>
      <w:r w:rsidR="001F0749">
        <w:t xml:space="preserve"> az és csak az a funkció, amelyet a Jogosult kért és, amely </w:t>
      </w:r>
      <w:r w:rsidR="0067322A">
        <w:t>a dokumentumok alapján, illetve az „</w:t>
      </w:r>
      <w:r w:rsidR="00AC3515">
        <w:t>Berendezés Alkalmassági Vizsgálat</w:t>
      </w:r>
      <w:r w:rsidR="0067322A">
        <w:t xml:space="preserve">” során vizsgálatra került. </w:t>
      </w:r>
    </w:p>
    <w:p w14:paraId="38F85E44" w14:textId="77777777" w:rsidR="00EC5DBB" w:rsidRDefault="00AB0681" w:rsidP="00AB0681">
      <w:pPr>
        <w:pStyle w:val="C"/>
      </w:pPr>
      <w:r>
        <w:br/>
      </w:r>
      <w:r w:rsidR="00EC5DBB">
        <w:t xml:space="preserve">A korlátozás vonatkozhat egyes paraméterekre, amelyek a minősítés során </w:t>
      </w:r>
      <w:r w:rsidR="00C2174F">
        <w:t>nem megfelelőnek minősültek, de a berendezésen beállíthatók, változtathatók, így a hálózattal való összekapcsolás feltételeként előírhatók.</w:t>
      </w:r>
      <w:r>
        <w:t xml:space="preserve"> </w:t>
      </w:r>
    </w:p>
    <w:p w14:paraId="38F85E45" w14:textId="77777777" w:rsidR="00F05EB2" w:rsidRDefault="00F05EB2">
      <w:pPr>
        <w:pStyle w:val="C"/>
      </w:pPr>
    </w:p>
    <w:p w14:paraId="38F85E46" w14:textId="77777777" w:rsidR="001127AE" w:rsidRDefault="001F0749">
      <w:pPr>
        <w:pStyle w:val="C"/>
      </w:pPr>
      <w:r>
        <w:rPr>
          <w:b/>
        </w:rPr>
        <w:t>c</w:t>
      </w:r>
      <w:r w:rsidR="00F05EB2">
        <w:rPr>
          <w:b/>
        </w:rPr>
        <w:t>) </w:t>
      </w:r>
      <w:r w:rsidR="00F05EB2">
        <w:t xml:space="preserve">Az eszköz </w:t>
      </w:r>
      <w:r w:rsidR="00835F2A">
        <w:t>„</w:t>
      </w:r>
      <w:r w:rsidR="00F05EB2">
        <w:t>nem megfelelő</w:t>
      </w:r>
      <w:r w:rsidR="00835F2A">
        <w:t>”</w:t>
      </w:r>
      <w:r w:rsidR="00F05EB2">
        <w:t xml:space="preserve">, a Magyar Telekom objektumában nem telepíthető, a hálózattal nem kapcsolható össze. </w:t>
      </w:r>
    </w:p>
    <w:p w14:paraId="38F85E47" w14:textId="77777777" w:rsidR="00F05EB2" w:rsidRDefault="00F05EB2" w:rsidP="001127AE">
      <w:pPr>
        <w:pStyle w:val="C"/>
        <w:ind w:firstLine="0"/>
      </w:pPr>
      <w:r>
        <w:t xml:space="preserve">Ebben az esetben a Magyar Telekom köteles </w:t>
      </w:r>
      <w:r w:rsidR="00835F2A">
        <w:t xml:space="preserve">a „Szakvélemény”-ben </w:t>
      </w:r>
      <w:r>
        <w:t>részletes indoklást adni a</w:t>
      </w:r>
      <w:r w:rsidR="00BD6967">
        <w:t>z</w:t>
      </w:r>
      <w:r>
        <w:t xml:space="preserve"> </w:t>
      </w:r>
      <w:r w:rsidR="00BD6967">
        <w:t>elutasítás oká</w:t>
      </w:r>
      <w:r w:rsidR="00AB1500">
        <w:t>ró</w:t>
      </w:r>
      <w:r w:rsidR="00BD6967">
        <w:t>l</w:t>
      </w:r>
      <w:r w:rsidR="001127AE">
        <w:t>.</w:t>
      </w:r>
    </w:p>
    <w:p w14:paraId="38F85E48" w14:textId="77777777" w:rsidR="00F05EB2" w:rsidRDefault="00F05EB2">
      <w:pPr>
        <w:pStyle w:val="C"/>
      </w:pPr>
    </w:p>
    <w:p w14:paraId="38F85E49" w14:textId="77777777" w:rsidR="00D916AC" w:rsidRDefault="00D916AC">
      <w:pPr>
        <w:pStyle w:val="B"/>
        <w:rPr>
          <w:b/>
        </w:rPr>
      </w:pPr>
    </w:p>
    <w:p w14:paraId="38F85E4A" w14:textId="77777777" w:rsidR="00D916AC" w:rsidRDefault="00D916AC" w:rsidP="00D916AC">
      <w:pPr>
        <w:pStyle w:val="B"/>
      </w:pPr>
      <w:r>
        <w:rPr>
          <w:b/>
        </w:rPr>
        <w:t>8.3 </w:t>
      </w:r>
      <w:r>
        <w:t>A minősítés sikeres végrehajtását követően az adott berendezést a Magyar Telekom felvezeti A Magyar Telekom Hálózatához Csatlakoztatható Berendezések Listájá</w:t>
      </w:r>
      <w:r w:rsidR="001F0749">
        <w:t>b</w:t>
      </w:r>
      <w:r>
        <w:t>a.</w:t>
      </w:r>
    </w:p>
    <w:p w14:paraId="38F85E4B" w14:textId="77777777" w:rsidR="00D916AC" w:rsidRDefault="00D916AC" w:rsidP="00D916AC">
      <w:pPr>
        <w:pStyle w:val="B"/>
        <w:rPr>
          <w:b/>
        </w:rPr>
      </w:pPr>
    </w:p>
    <w:p w14:paraId="38F85E4C" w14:textId="1797EABD" w:rsidR="0046264A" w:rsidRDefault="00F05EB2">
      <w:pPr>
        <w:pStyle w:val="B"/>
      </w:pPr>
      <w:r>
        <w:rPr>
          <w:b/>
        </w:rPr>
        <w:t>8</w:t>
      </w:r>
      <w:r w:rsidR="00D916AC">
        <w:rPr>
          <w:b/>
        </w:rPr>
        <w:t>.4</w:t>
      </w:r>
      <w:r>
        <w:rPr>
          <w:b/>
        </w:rPr>
        <w:t> </w:t>
      </w:r>
      <w:r>
        <w:t xml:space="preserve">A </w:t>
      </w:r>
      <w:r w:rsidR="00AC3515">
        <w:t>Berendezés Alkalmassági Vizsgálat</w:t>
      </w:r>
      <w:r w:rsidR="00AC3515" w:rsidDel="00AC3515">
        <w:t xml:space="preserve"> </w:t>
      </w:r>
      <w:r>
        <w:t>keretében elvégzett</w:t>
      </w:r>
      <w:r w:rsidR="008C25BD">
        <w:t xml:space="preserve"> </w:t>
      </w:r>
      <w:r w:rsidR="001127AE">
        <w:t>minősítések</w:t>
      </w:r>
      <w:r>
        <w:t xml:space="preserve"> a Jogosult(ak) részéről díjkötelesek.</w:t>
      </w:r>
    </w:p>
    <w:p w14:paraId="38F85E4D" w14:textId="77777777" w:rsidR="0046264A" w:rsidRDefault="0046264A">
      <w:pPr>
        <w:pStyle w:val="B"/>
        <w:rPr>
          <w:b/>
        </w:rPr>
      </w:pPr>
    </w:p>
    <w:p w14:paraId="38F85E4E" w14:textId="77777777" w:rsidR="00F05EB2" w:rsidRDefault="00F05EB2">
      <w:pPr>
        <w:pStyle w:val="B"/>
      </w:pPr>
      <w:r>
        <w:rPr>
          <w:b/>
        </w:rPr>
        <w:t>8.</w:t>
      </w:r>
      <w:r w:rsidR="00D916AC">
        <w:rPr>
          <w:b/>
        </w:rPr>
        <w:t>5</w:t>
      </w:r>
      <w:r>
        <w:rPr>
          <w:b/>
        </w:rPr>
        <w:t> </w:t>
      </w:r>
      <w:r>
        <w:t>A Magyar Telekom fenntartja a jogot arra nézve, hogy indokolt esetben, például zavarás, zavartatás esetén, lehetősége legyen a Jogosult által már betelepített és a Magyar Telekom hálózatával összekapcsolt berendezések műszaki paramétereit – a Jogosulttal történt egyeztetés alapján – utólag is ellenőrizhesse.</w:t>
      </w:r>
    </w:p>
    <w:p w14:paraId="38F85E4F" w14:textId="77777777" w:rsidR="00F05EB2" w:rsidRDefault="00F05EB2">
      <w:pPr>
        <w:pStyle w:val="B"/>
      </w:pPr>
    </w:p>
    <w:p w14:paraId="38F85E50" w14:textId="77777777" w:rsidR="00F05EB2" w:rsidRDefault="00F05EB2">
      <w:pPr>
        <w:pStyle w:val="B"/>
      </w:pPr>
      <w:r>
        <w:rPr>
          <w:b/>
        </w:rPr>
        <w:t>8.</w:t>
      </w:r>
      <w:r w:rsidR="00D916AC">
        <w:rPr>
          <w:b/>
        </w:rPr>
        <w:t>6</w:t>
      </w:r>
      <w:r>
        <w:rPr>
          <w:b/>
        </w:rPr>
        <w:t> </w:t>
      </w:r>
      <w:r>
        <w:t xml:space="preserve">Amennyiben bebizonyosodik, hogy az eszköz a Magyar Telekom </w:t>
      </w:r>
      <w:r w:rsidR="003348E8">
        <w:t xml:space="preserve">(saját, vagy megosztott, más Jogosult által használt) </w:t>
      </w:r>
      <w:r>
        <w:t>hálózatát valamilyen szempontból zavarja, vagy biztonsági szempontból veszélyforrást jelent</w:t>
      </w:r>
      <w:r w:rsidR="003348E8">
        <w:t xml:space="preserve"> annak működésére, működtetésére</w:t>
      </w:r>
      <w:r>
        <w:t>, akkor – a Jogosult azonnali értesítése mellett – a hiba elhárításáig, vagy ha az semmilyen módon nem lehetséges, akkor a Magyar Telekom a Jogosulttal történt egyeztetés és egyetértés után az eszköz használatát a hálózatban felfüggesztheti.</w:t>
      </w:r>
    </w:p>
    <w:p w14:paraId="38F85E51" w14:textId="77777777" w:rsidR="00F05EB2" w:rsidRDefault="00F05EB2">
      <w:pPr>
        <w:pStyle w:val="B"/>
      </w:pPr>
    </w:p>
    <w:p w14:paraId="38F85E62" w14:textId="64F96B9C" w:rsidR="00374C00" w:rsidRDefault="00F05EB2" w:rsidP="00E72F01">
      <w:pPr>
        <w:pStyle w:val="B"/>
      </w:pPr>
      <w:r>
        <w:rPr>
          <w:b/>
        </w:rPr>
        <w:t>8.</w:t>
      </w:r>
      <w:r w:rsidR="00D916AC">
        <w:rPr>
          <w:b/>
        </w:rPr>
        <w:t>7</w:t>
      </w:r>
      <w:r>
        <w:rPr>
          <w:b/>
        </w:rPr>
        <w:t> </w:t>
      </w:r>
      <w:r>
        <w:t>A fentiekkel azonos módon kell eljárni a Magyar Telekom hálózatába újonnan telepített – a Jogosult már betelepített eszközét zavaró – Magyar Telekom tulajdonú eszközök esetén is.</w:t>
      </w:r>
    </w:p>
    <w:sectPr w:rsidR="00374C00">
      <w:headerReference w:type="default" r:id="rId16"/>
      <w:footerReference w:type="default" r:id="rId17"/>
      <w:pgSz w:w="11906" w:h="16838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2CEDE" w14:textId="77777777" w:rsidR="00866342" w:rsidRDefault="00866342">
      <w:r>
        <w:separator/>
      </w:r>
    </w:p>
  </w:endnote>
  <w:endnote w:type="continuationSeparator" w:id="0">
    <w:p w14:paraId="34781A52" w14:textId="77777777" w:rsidR="00866342" w:rsidRDefault="0086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PT Phonetic"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85E75" w14:textId="2E97580C" w:rsidR="00CC7C65" w:rsidRDefault="00CC7C65">
    <w:pPr>
      <w:pStyle w:val="llb"/>
      <w:pBdr>
        <w:top w:val="single" w:sz="6" w:space="1" w:color="auto"/>
      </w:pBdr>
      <w:tabs>
        <w:tab w:val="clear" w:pos="8640"/>
        <w:tab w:val="right" w:pos="9072"/>
      </w:tabs>
      <w:jc w:val="both"/>
      <w:rPr>
        <w:sz w:val="22"/>
      </w:rPr>
    </w:pPr>
    <w:r>
      <w:rPr>
        <w:snapToGrid w:val="0"/>
        <w:sz w:val="22"/>
      </w:rPr>
      <w:t>Verzió: 2018.</w:t>
    </w:r>
    <w:r w:rsidR="00D929B6">
      <w:rPr>
        <w:snapToGrid w:val="0"/>
        <w:sz w:val="22"/>
      </w:rPr>
      <w:t>08.23.</w:t>
    </w:r>
    <w:r>
      <w:rPr>
        <w:snapToGrid w:val="0"/>
        <w:sz w:val="22"/>
      </w:rPr>
      <w:tab/>
    </w:r>
    <w:r>
      <w:rPr>
        <w:snapToGrid w:val="0"/>
        <w:sz w:val="22"/>
      </w:rPr>
      <w:tab/>
    </w:r>
    <w:r>
      <w:rPr>
        <w:sz w:val="22"/>
      </w:rPr>
      <w:fldChar w:fldCharType="begin"/>
    </w:r>
    <w:r>
      <w:rPr>
        <w:sz w:val="22"/>
      </w:rPr>
      <w:instrText xml:space="preserve"> PAGE  \* MERGEFORMAT </w:instrText>
    </w:r>
    <w:r>
      <w:rPr>
        <w:sz w:val="22"/>
      </w:rPr>
      <w:fldChar w:fldCharType="separate"/>
    </w:r>
    <w:r w:rsidR="00AE5146">
      <w:rPr>
        <w:noProof/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(</w:t>
    </w:r>
    <w:r>
      <w:rPr>
        <w:rStyle w:val="Oldalszm"/>
        <w:sz w:val="22"/>
      </w:rPr>
      <w:fldChar w:fldCharType="begin"/>
    </w:r>
    <w:r>
      <w:rPr>
        <w:rStyle w:val="Oldalszm"/>
        <w:sz w:val="22"/>
      </w:rPr>
      <w:instrText xml:space="preserve"> NUMPAGES </w:instrText>
    </w:r>
    <w:r>
      <w:rPr>
        <w:rStyle w:val="Oldalszm"/>
        <w:sz w:val="22"/>
      </w:rPr>
      <w:fldChar w:fldCharType="separate"/>
    </w:r>
    <w:r w:rsidR="00AE5146">
      <w:rPr>
        <w:rStyle w:val="Oldalszm"/>
        <w:noProof/>
        <w:sz w:val="22"/>
      </w:rPr>
      <w:t>15</w:t>
    </w:r>
    <w:r>
      <w:rPr>
        <w:rStyle w:val="Oldalszm"/>
        <w:sz w:val="22"/>
      </w:rPr>
      <w:fldChar w:fldCharType="end"/>
    </w:r>
    <w:r>
      <w:rPr>
        <w:sz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F9FA" w14:textId="77777777" w:rsidR="00866342" w:rsidRDefault="00866342">
      <w:r>
        <w:separator/>
      </w:r>
    </w:p>
  </w:footnote>
  <w:footnote w:type="continuationSeparator" w:id="0">
    <w:p w14:paraId="661740EE" w14:textId="77777777" w:rsidR="00866342" w:rsidRDefault="0086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85E72" w14:textId="77777777" w:rsidR="00CC7C65" w:rsidRDefault="00CC7C65">
    <w:pPr>
      <w:pStyle w:val="lfej"/>
      <w:tabs>
        <w:tab w:val="clear" w:pos="4320"/>
        <w:tab w:val="clear" w:pos="8640"/>
        <w:tab w:val="right" w:pos="9072"/>
      </w:tabs>
    </w:pPr>
    <w:r>
      <w:t>Magyar Telekom</w:t>
    </w:r>
    <w:r>
      <w:tab/>
      <w:t>4.C Melléklet</w:t>
    </w:r>
  </w:p>
  <w:p w14:paraId="38F85E73" w14:textId="77777777" w:rsidR="00CC7C65" w:rsidRDefault="00CC7C65">
    <w:pPr>
      <w:pStyle w:val="lfej"/>
      <w:pBdr>
        <w:bottom w:val="single" w:sz="4" w:space="1" w:color="auto"/>
      </w:pBdr>
      <w:tabs>
        <w:tab w:val="clear" w:pos="4320"/>
        <w:tab w:val="clear" w:pos="8640"/>
        <w:tab w:val="right" w:pos="9072"/>
      </w:tabs>
      <w:jc w:val="right"/>
      <w:rPr>
        <w:b/>
      </w:rPr>
    </w:pPr>
    <w:r>
      <w:rPr>
        <w:b/>
      </w:rPr>
      <w:t>MARUO</w:t>
    </w:r>
    <w:r>
      <w:rPr>
        <w:b/>
      </w:rPr>
      <w:tab/>
      <w:t>Ismeretlen berendezés megfelelősség-igazolása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201F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6E005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B2E9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5045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D0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1A7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5681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82D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9A8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8F287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20"/>
      <w:lvlJc w:val="left"/>
      <w:pPr>
        <w:ind w:left="708" w:hanging="720"/>
      </w:pPr>
    </w:lvl>
    <w:lvl w:ilvl="1">
      <w:start w:val="1"/>
      <w:numFmt w:val="decimal"/>
      <w:lvlText w:val="%1.%2."/>
      <w:legacy w:legacy="1" w:legacySpace="0" w:legacyIndent="720"/>
      <w:lvlJc w:val="left"/>
      <w:pPr>
        <w:ind w:left="340" w:hanging="720"/>
      </w:pPr>
    </w:lvl>
    <w:lvl w:ilvl="2">
      <w:start w:val="1"/>
      <w:numFmt w:val="decimal"/>
      <w:lvlText w:val="%1.%2.%3."/>
      <w:legacy w:legacy="1" w:legacySpace="0" w:legacyIndent="720"/>
      <w:lvlJc w:val="left"/>
      <w:pPr>
        <w:ind w:left="680" w:hanging="720"/>
      </w:pPr>
    </w:lvl>
    <w:lvl w:ilvl="3">
      <w:start w:val="1"/>
      <w:numFmt w:val="decimal"/>
      <w:lvlText w:val="%1.%2.%3.%4."/>
      <w:legacy w:legacy="1" w:legacySpace="0" w:legacyIndent="720"/>
      <w:lvlJc w:val="left"/>
      <w:pPr>
        <w:ind w:left="1021" w:hanging="720"/>
      </w:pPr>
    </w:lvl>
    <w:lvl w:ilvl="4">
      <w:start w:val="1"/>
      <w:numFmt w:val="decimal"/>
      <w:lvlText w:val="%1.%2.%3.%4.%5."/>
      <w:legacy w:legacy="1" w:legacySpace="0" w:legacyIndent="720"/>
      <w:lvlJc w:val="left"/>
      <w:pPr>
        <w:ind w:left="1361" w:hanging="720"/>
      </w:pPr>
    </w:lvl>
    <w:lvl w:ilvl="5">
      <w:start w:val="1"/>
      <w:numFmt w:val="decimal"/>
      <w:lvlText w:val="%1.%2.%3.%4.%5.%6."/>
      <w:legacy w:legacy="1" w:legacySpace="0" w:legacyIndent="720"/>
      <w:lvlJc w:val="left"/>
      <w:pPr>
        <w:ind w:left="1701" w:hanging="720"/>
      </w:pPr>
    </w:lvl>
    <w:lvl w:ilvl="6">
      <w:start w:val="1"/>
      <w:numFmt w:val="decimal"/>
      <w:lvlText w:val="%1.%2.%3.%4.%5.%6.%7."/>
      <w:legacy w:legacy="1" w:legacySpace="0" w:legacyIndent="720"/>
      <w:lvlJc w:val="left"/>
      <w:pPr>
        <w:ind w:left="2041" w:hanging="720"/>
      </w:pPr>
    </w:lvl>
    <w:lvl w:ilvl="7">
      <w:start w:val="1"/>
      <w:numFmt w:val="decimal"/>
      <w:lvlText w:val="%1.%2.%3.%4.%5.%6.%7.%8."/>
      <w:legacy w:legacy="1" w:legacySpace="0" w:legacyIndent="720"/>
      <w:lvlJc w:val="left"/>
      <w:pPr>
        <w:ind w:left="2381" w:hanging="720"/>
      </w:pPr>
    </w:lvl>
    <w:lvl w:ilvl="8">
      <w:start w:val="1"/>
      <w:numFmt w:val="decimal"/>
      <w:lvlText w:val="%1.%2.%3.%4.%5.%6.%7.%8.%9."/>
      <w:legacy w:legacy="1" w:legacySpace="0" w:legacyIndent="720"/>
      <w:lvlJc w:val="left"/>
      <w:pPr>
        <w:ind w:left="2722" w:hanging="720"/>
      </w:pPr>
    </w:lvl>
  </w:abstractNum>
  <w:abstractNum w:abstractNumId="1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>
    <w:nsid w:val="07C071CE"/>
    <w:multiLevelType w:val="singleLevel"/>
    <w:tmpl w:val="7340C266"/>
    <w:lvl w:ilvl="0">
      <w:start w:val="4"/>
      <w:numFmt w:val="bullet"/>
      <w:lvlText w:val="-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13">
    <w:nsid w:val="0E37739A"/>
    <w:multiLevelType w:val="singleLevel"/>
    <w:tmpl w:val="62D60A1C"/>
    <w:lvl w:ilvl="0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int="default"/>
      </w:rPr>
    </w:lvl>
  </w:abstractNum>
  <w:abstractNum w:abstractNumId="14">
    <w:nsid w:val="0F6D0B8C"/>
    <w:multiLevelType w:val="singleLevel"/>
    <w:tmpl w:val="49EC4E80"/>
    <w:lvl w:ilvl="0">
      <w:start w:val="1"/>
      <w:numFmt w:val="lowerLetter"/>
      <w:lvlText w:val="%1)"/>
      <w:legacy w:legacy="1" w:legacySpace="0" w:legacyIndent="870"/>
      <w:lvlJc w:val="left"/>
      <w:pPr>
        <w:ind w:left="1380" w:hanging="870"/>
      </w:pPr>
      <w:rPr>
        <w:b/>
      </w:rPr>
    </w:lvl>
  </w:abstractNum>
  <w:abstractNum w:abstractNumId="15">
    <w:nsid w:val="17D75B88"/>
    <w:multiLevelType w:val="hybridMultilevel"/>
    <w:tmpl w:val="8E607AE0"/>
    <w:lvl w:ilvl="0" w:tplc="ABCEB28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184F36A2"/>
    <w:multiLevelType w:val="hybridMultilevel"/>
    <w:tmpl w:val="2210269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B3174"/>
    <w:multiLevelType w:val="singleLevel"/>
    <w:tmpl w:val="B64296C2"/>
    <w:lvl w:ilvl="0">
      <w:start w:val="4"/>
      <w:numFmt w:val="bullet"/>
      <w:lvlText w:val="-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18">
    <w:nsid w:val="1A747E5A"/>
    <w:multiLevelType w:val="multilevel"/>
    <w:tmpl w:val="2314FB4E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1C470FD7"/>
    <w:multiLevelType w:val="hybridMultilevel"/>
    <w:tmpl w:val="C47EA854"/>
    <w:lvl w:ilvl="0" w:tplc="5FB40DF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20977EA4"/>
    <w:multiLevelType w:val="multilevel"/>
    <w:tmpl w:val="987EB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  <w:b/>
      </w:rPr>
    </w:lvl>
  </w:abstractNum>
  <w:abstractNum w:abstractNumId="21">
    <w:nsid w:val="20981C0D"/>
    <w:multiLevelType w:val="multilevel"/>
    <w:tmpl w:val="A96C1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253147E"/>
    <w:multiLevelType w:val="singleLevel"/>
    <w:tmpl w:val="CAF6B3F0"/>
    <w:lvl w:ilvl="0">
      <w:start w:val="1"/>
      <w:numFmt w:val="lowerLetter"/>
      <w:lvlText w:val="%1)"/>
      <w:legacy w:legacy="1" w:legacySpace="0" w:legacyIndent="870"/>
      <w:lvlJc w:val="left"/>
      <w:pPr>
        <w:ind w:left="1380" w:hanging="870"/>
      </w:pPr>
      <w:rPr>
        <w:b/>
      </w:rPr>
    </w:lvl>
  </w:abstractNum>
  <w:abstractNum w:abstractNumId="23">
    <w:nsid w:val="259E6355"/>
    <w:multiLevelType w:val="hybridMultilevel"/>
    <w:tmpl w:val="9A8EB88E"/>
    <w:lvl w:ilvl="0" w:tplc="BDDA0C5C">
      <w:start w:val="5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SPT Phonetic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>
    <w:nsid w:val="314849F5"/>
    <w:multiLevelType w:val="singleLevel"/>
    <w:tmpl w:val="C366AF42"/>
    <w:lvl w:ilvl="0">
      <w:start w:val="1"/>
      <w:numFmt w:val="decimal"/>
      <w:lvlText w:val="17.1.%1"/>
      <w:lvlJc w:val="left"/>
      <w:pPr>
        <w:tabs>
          <w:tab w:val="num" w:pos="709"/>
        </w:tabs>
        <w:ind w:left="709" w:hanging="709"/>
      </w:pPr>
      <w:rPr>
        <w:strike w:val="0"/>
        <w:dstrike w:val="0"/>
        <w:sz w:val="24"/>
      </w:rPr>
    </w:lvl>
  </w:abstractNum>
  <w:abstractNum w:abstractNumId="25">
    <w:nsid w:val="329F3B43"/>
    <w:multiLevelType w:val="singleLevel"/>
    <w:tmpl w:val="7B38892A"/>
    <w:lvl w:ilvl="0">
      <w:start w:val="1"/>
      <w:numFmt w:val="bullet"/>
      <w:lvlText w:val="-"/>
      <w:lvlJc w:val="left"/>
      <w:pPr>
        <w:tabs>
          <w:tab w:val="num" w:pos="4245"/>
        </w:tabs>
        <w:ind w:left="4245" w:hanging="705"/>
      </w:pPr>
      <w:rPr>
        <w:rFonts w:ascii="Times New Roman" w:hAnsi="Times New Roman" w:hint="default"/>
      </w:rPr>
    </w:lvl>
  </w:abstractNum>
  <w:abstractNum w:abstractNumId="26">
    <w:nsid w:val="35C62AF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27">
    <w:nsid w:val="3A1462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28">
    <w:nsid w:val="3A8547D8"/>
    <w:multiLevelType w:val="singleLevel"/>
    <w:tmpl w:val="F1D64D7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>
    <w:nsid w:val="4EFB2664"/>
    <w:multiLevelType w:val="hybridMultilevel"/>
    <w:tmpl w:val="F95E483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DB3EE0"/>
    <w:multiLevelType w:val="multilevel"/>
    <w:tmpl w:val="B1FCB9FC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5"/>
        </w:tabs>
        <w:ind w:left="72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31">
    <w:nsid w:val="54AA3B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2">
    <w:nsid w:val="5EB45E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3">
    <w:nsid w:val="5F964434"/>
    <w:multiLevelType w:val="singleLevel"/>
    <w:tmpl w:val="914A2EA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34">
    <w:nsid w:val="60BD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5">
    <w:nsid w:val="617170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6">
    <w:nsid w:val="6428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7">
    <w:nsid w:val="647F21E8"/>
    <w:multiLevelType w:val="singleLevel"/>
    <w:tmpl w:val="7DC8D9D4"/>
    <w:lvl w:ilvl="0">
      <w:start w:val="1"/>
      <w:numFmt w:val="decimal"/>
      <w:lvlText w:val="6.%1"/>
      <w:lvlJc w:val="left"/>
      <w:pPr>
        <w:tabs>
          <w:tab w:val="num" w:pos="709"/>
        </w:tabs>
        <w:ind w:left="709" w:hanging="709"/>
      </w:pPr>
      <w:rPr>
        <w:sz w:val="24"/>
      </w:rPr>
    </w:lvl>
  </w:abstractNum>
  <w:abstractNum w:abstractNumId="38">
    <w:nsid w:val="66D133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9">
    <w:nsid w:val="670E52DE"/>
    <w:multiLevelType w:val="hybridMultilevel"/>
    <w:tmpl w:val="1D269CF0"/>
    <w:lvl w:ilvl="0" w:tplc="C4D47FFA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A981BFD"/>
    <w:multiLevelType w:val="singleLevel"/>
    <w:tmpl w:val="A8DA1C2A"/>
    <w:lvl w:ilvl="0">
      <w:start w:val="1"/>
      <w:numFmt w:val="decimal"/>
      <w:lvlText w:val="17.%1"/>
      <w:lvlJc w:val="left"/>
      <w:pPr>
        <w:tabs>
          <w:tab w:val="num" w:pos="709"/>
        </w:tabs>
        <w:ind w:left="709" w:hanging="709"/>
      </w:pPr>
      <w:rPr>
        <w:strike w:val="0"/>
        <w:dstrike w:val="0"/>
        <w:sz w:val="24"/>
      </w:rPr>
    </w:lvl>
  </w:abstractNum>
  <w:abstractNum w:abstractNumId="41">
    <w:nsid w:val="71483477"/>
    <w:multiLevelType w:val="hybridMultilevel"/>
    <w:tmpl w:val="9CC6DCE4"/>
    <w:lvl w:ilvl="0" w:tplc="C57A5C5C">
      <w:start w:val="3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eastAsia="SPT Phonetic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2">
    <w:nsid w:val="75E52D01"/>
    <w:multiLevelType w:val="singleLevel"/>
    <w:tmpl w:val="927898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3">
    <w:nsid w:val="78FD56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44">
    <w:nsid w:val="7A195CD0"/>
    <w:multiLevelType w:val="singleLevel"/>
    <w:tmpl w:val="47643D02"/>
    <w:lvl w:ilvl="0">
      <w:start w:val="1"/>
      <w:numFmt w:val="decimal"/>
      <w:lvlText w:val="19.6.%1"/>
      <w:lvlJc w:val="left"/>
      <w:pPr>
        <w:tabs>
          <w:tab w:val="num" w:pos="709"/>
        </w:tabs>
        <w:ind w:left="709" w:hanging="709"/>
      </w:pPr>
      <w:rPr>
        <w:strike w:val="0"/>
        <w:dstrike w:val="0"/>
      </w:rPr>
    </w:lvl>
  </w:abstractNum>
  <w:abstractNum w:abstractNumId="45">
    <w:nsid w:val="7B3F7F2D"/>
    <w:multiLevelType w:val="hybridMultilevel"/>
    <w:tmpl w:val="1D269CF0"/>
    <w:lvl w:ilvl="0" w:tplc="C4D47FFA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AD69E9"/>
    <w:multiLevelType w:val="multilevel"/>
    <w:tmpl w:val="987EB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  <w:b/>
      </w:rPr>
    </w:lvl>
  </w:abstractNum>
  <w:num w:numId="1">
    <w:abstractNumId w:val="22"/>
  </w:num>
  <w:num w:numId="2">
    <w:abstractNumId w:val="14"/>
  </w:num>
  <w:num w:numId="3">
    <w:abstractNumId w:val="34"/>
  </w:num>
  <w:num w:numId="4">
    <w:abstractNumId w:val="32"/>
  </w:num>
  <w:num w:numId="5">
    <w:abstractNumId w:val="31"/>
  </w:num>
  <w:num w:numId="6">
    <w:abstractNumId w:val="38"/>
  </w:num>
  <w:num w:numId="7">
    <w:abstractNumId w:val="26"/>
  </w:num>
  <w:num w:numId="8">
    <w:abstractNumId w:val="43"/>
  </w:num>
  <w:num w:numId="9">
    <w:abstractNumId w:val="27"/>
  </w:num>
  <w:num w:numId="10">
    <w:abstractNumId w:val="35"/>
  </w:num>
  <w:num w:numId="11">
    <w:abstractNumId w:val="36"/>
  </w:num>
  <w:num w:numId="12">
    <w:abstractNumId w:val="30"/>
  </w:num>
  <w:num w:numId="13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4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5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6">
    <w:abstractNumId w:val="40"/>
  </w:num>
  <w:num w:numId="17">
    <w:abstractNumId w:val="24"/>
  </w:num>
  <w:num w:numId="18">
    <w:abstractNumId w:val="37"/>
  </w:num>
  <w:num w:numId="19">
    <w:abstractNumId w:val="42"/>
  </w:num>
  <w:num w:numId="20">
    <w:abstractNumId w:val="10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44"/>
  </w:num>
  <w:num w:numId="32">
    <w:abstractNumId w:val="17"/>
  </w:num>
  <w:num w:numId="33">
    <w:abstractNumId w:val="12"/>
  </w:num>
  <w:num w:numId="34">
    <w:abstractNumId w:val="21"/>
  </w:num>
  <w:num w:numId="35">
    <w:abstractNumId w:val="13"/>
  </w:num>
  <w:num w:numId="36">
    <w:abstractNumId w:val="33"/>
  </w:num>
  <w:num w:numId="37">
    <w:abstractNumId w:val="18"/>
  </w:num>
  <w:num w:numId="38">
    <w:abstractNumId w:val="25"/>
  </w:num>
  <w:num w:numId="39">
    <w:abstractNumId w:val="28"/>
  </w:num>
  <w:num w:numId="40">
    <w:abstractNumId w:val="23"/>
  </w:num>
  <w:num w:numId="41">
    <w:abstractNumId w:val="41"/>
  </w:num>
  <w:num w:numId="42">
    <w:abstractNumId w:val="15"/>
  </w:num>
  <w:num w:numId="43">
    <w:abstractNumId w:val="19"/>
  </w:num>
  <w:num w:numId="44">
    <w:abstractNumId w:val="16"/>
  </w:num>
  <w:num w:numId="45">
    <w:abstractNumId w:val="29"/>
  </w:num>
  <w:num w:numId="46">
    <w:abstractNumId w:val="45"/>
  </w:num>
  <w:num w:numId="47">
    <w:abstractNumId w:val="39"/>
  </w:num>
  <w:num w:numId="48">
    <w:abstractNumId w:val="46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6D"/>
    <w:rsid w:val="00006651"/>
    <w:rsid w:val="0002052B"/>
    <w:rsid w:val="00025A64"/>
    <w:rsid w:val="000535AD"/>
    <w:rsid w:val="00071CBD"/>
    <w:rsid w:val="00071CC3"/>
    <w:rsid w:val="00083AAF"/>
    <w:rsid w:val="0009618D"/>
    <w:rsid w:val="000A6B2D"/>
    <w:rsid w:val="000B5497"/>
    <w:rsid w:val="000C513B"/>
    <w:rsid w:val="000E6966"/>
    <w:rsid w:val="00106AE4"/>
    <w:rsid w:val="00112215"/>
    <w:rsid w:val="001127AE"/>
    <w:rsid w:val="00121F11"/>
    <w:rsid w:val="00126A40"/>
    <w:rsid w:val="00136BF3"/>
    <w:rsid w:val="0013751A"/>
    <w:rsid w:val="00170150"/>
    <w:rsid w:val="00180163"/>
    <w:rsid w:val="001A086B"/>
    <w:rsid w:val="001A63A2"/>
    <w:rsid w:val="001B4461"/>
    <w:rsid w:val="001D5543"/>
    <w:rsid w:val="001E69C2"/>
    <w:rsid w:val="001F0749"/>
    <w:rsid w:val="001F6C65"/>
    <w:rsid w:val="00205B36"/>
    <w:rsid w:val="00222A03"/>
    <w:rsid w:val="00236ACA"/>
    <w:rsid w:val="00254565"/>
    <w:rsid w:val="002550A9"/>
    <w:rsid w:val="0027284E"/>
    <w:rsid w:val="002757F5"/>
    <w:rsid w:val="00276558"/>
    <w:rsid w:val="002810C4"/>
    <w:rsid w:val="002D2A05"/>
    <w:rsid w:val="002D6DB5"/>
    <w:rsid w:val="002F39FA"/>
    <w:rsid w:val="002F586D"/>
    <w:rsid w:val="0030026B"/>
    <w:rsid w:val="00317C61"/>
    <w:rsid w:val="00321494"/>
    <w:rsid w:val="003348E8"/>
    <w:rsid w:val="0035258B"/>
    <w:rsid w:val="0035588A"/>
    <w:rsid w:val="003673EC"/>
    <w:rsid w:val="00374C00"/>
    <w:rsid w:val="00376384"/>
    <w:rsid w:val="003A28F3"/>
    <w:rsid w:val="003B4A68"/>
    <w:rsid w:val="003B73F6"/>
    <w:rsid w:val="003C3F8A"/>
    <w:rsid w:val="003C682E"/>
    <w:rsid w:val="003D2FD4"/>
    <w:rsid w:val="003D3672"/>
    <w:rsid w:val="003E1816"/>
    <w:rsid w:val="003E4DBF"/>
    <w:rsid w:val="003F5693"/>
    <w:rsid w:val="00416436"/>
    <w:rsid w:val="004202DD"/>
    <w:rsid w:val="00443BDC"/>
    <w:rsid w:val="004453E8"/>
    <w:rsid w:val="00461542"/>
    <w:rsid w:val="0046264A"/>
    <w:rsid w:val="004633C6"/>
    <w:rsid w:val="0046373F"/>
    <w:rsid w:val="00472FAF"/>
    <w:rsid w:val="00496316"/>
    <w:rsid w:val="004B4885"/>
    <w:rsid w:val="00505480"/>
    <w:rsid w:val="00530D89"/>
    <w:rsid w:val="00551FDC"/>
    <w:rsid w:val="005851BB"/>
    <w:rsid w:val="005A0B83"/>
    <w:rsid w:val="005B2E6D"/>
    <w:rsid w:val="005D36E4"/>
    <w:rsid w:val="005F32DC"/>
    <w:rsid w:val="005F4918"/>
    <w:rsid w:val="00617141"/>
    <w:rsid w:val="00624D6A"/>
    <w:rsid w:val="00646492"/>
    <w:rsid w:val="0067322A"/>
    <w:rsid w:val="00680B2D"/>
    <w:rsid w:val="00680B85"/>
    <w:rsid w:val="00690B91"/>
    <w:rsid w:val="00690F39"/>
    <w:rsid w:val="006B17AB"/>
    <w:rsid w:val="006B3EEA"/>
    <w:rsid w:val="006C46BA"/>
    <w:rsid w:val="006D4C26"/>
    <w:rsid w:val="006D4C67"/>
    <w:rsid w:val="006D6E87"/>
    <w:rsid w:val="00704274"/>
    <w:rsid w:val="00704277"/>
    <w:rsid w:val="00727620"/>
    <w:rsid w:val="0073027D"/>
    <w:rsid w:val="00740F04"/>
    <w:rsid w:val="0074246B"/>
    <w:rsid w:val="00744D3B"/>
    <w:rsid w:val="007463C4"/>
    <w:rsid w:val="007533EF"/>
    <w:rsid w:val="00781C37"/>
    <w:rsid w:val="00786E2A"/>
    <w:rsid w:val="0079387F"/>
    <w:rsid w:val="007C65AF"/>
    <w:rsid w:val="007C749B"/>
    <w:rsid w:val="007D08AF"/>
    <w:rsid w:val="007D4E51"/>
    <w:rsid w:val="007E1313"/>
    <w:rsid w:val="007F7FF0"/>
    <w:rsid w:val="0083567D"/>
    <w:rsid w:val="00835F2A"/>
    <w:rsid w:val="00846F26"/>
    <w:rsid w:val="00850136"/>
    <w:rsid w:val="00850881"/>
    <w:rsid w:val="00851735"/>
    <w:rsid w:val="00856CEE"/>
    <w:rsid w:val="00866342"/>
    <w:rsid w:val="00867397"/>
    <w:rsid w:val="00872B46"/>
    <w:rsid w:val="00880506"/>
    <w:rsid w:val="0088666D"/>
    <w:rsid w:val="00894548"/>
    <w:rsid w:val="00896972"/>
    <w:rsid w:val="008A4924"/>
    <w:rsid w:val="008B6C38"/>
    <w:rsid w:val="008C25BD"/>
    <w:rsid w:val="008E00B3"/>
    <w:rsid w:val="00905F61"/>
    <w:rsid w:val="00916930"/>
    <w:rsid w:val="0092748F"/>
    <w:rsid w:val="00935B06"/>
    <w:rsid w:val="00937646"/>
    <w:rsid w:val="00953D15"/>
    <w:rsid w:val="00960A95"/>
    <w:rsid w:val="009664CE"/>
    <w:rsid w:val="00976D56"/>
    <w:rsid w:val="00981793"/>
    <w:rsid w:val="009900C2"/>
    <w:rsid w:val="0099632E"/>
    <w:rsid w:val="009A66FE"/>
    <w:rsid w:val="009C09B9"/>
    <w:rsid w:val="009D60CD"/>
    <w:rsid w:val="009E4CF8"/>
    <w:rsid w:val="009E50B8"/>
    <w:rsid w:val="00A277AB"/>
    <w:rsid w:val="00A33425"/>
    <w:rsid w:val="00A372FF"/>
    <w:rsid w:val="00A64D8E"/>
    <w:rsid w:val="00A81C91"/>
    <w:rsid w:val="00A92376"/>
    <w:rsid w:val="00AB0681"/>
    <w:rsid w:val="00AB1500"/>
    <w:rsid w:val="00AB4A6A"/>
    <w:rsid w:val="00AC0AF2"/>
    <w:rsid w:val="00AC0C93"/>
    <w:rsid w:val="00AC1A5C"/>
    <w:rsid w:val="00AC3515"/>
    <w:rsid w:val="00AC73F5"/>
    <w:rsid w:val="00AD12A0"/>
    <w:rsid w:val="00AE5146"/>
    <w:rsid w:val="00B14744"/>
    <w:rsid w:val="00B43C44"/>
    <w:rsid w:val="00B65223"/>
    <w:rsid w:val="00B6589E"/>
    <w:rsid w:val="00B72C6E"/>
    <w:rsid w:val="00B731FA"/>
    <w:rsid w:val="00B87F08"/>
    <w:rsid w:val="00BA19A7"/>
    <w:rsid w:val="00BD6967"/>
    <w:rsid w:val="00BF42EF"/>
    <w:rsid w:val="00C2174F"/>
    <w:rsid w:val="00C304EE"/>
    <w:rsid w:val="00C46D4B"/>
    <w:rsid w:val="00C525F4"/>
    <w:rsid w:val="00C57346"/>
    <w:rsid w:val="00C6481F"/>
    <w:rsid w:val="00CB0926"/>
    <w:rsid w:val="00CC7C65"/>
    <w:rsid w:val="00CF40B1"/>
    <w:rsid w:val="00D10527"/>
    <w:rsid w:val="00D1087E"/>
    <w:rsid w:val="00D27035"/>
    <w:rsid w:val="00D3426B"/>
    <w:rsid w:val="00D372BC"/>
    <w:rsid w:val="00D46B58"/>
    <w:rsid w:val="00D5514A"/>
    <w:rsid w:val="00D668BA"/>
    <w:rsid w:val="00D677D2"/>
    <w:rsid w:val="00D701A7"/>
    <w:rsid w:val="00D916AC"/>
    <w:rsid w:val="00D929B6"/>
    <w:rsid w:val="00DA44CB"/>
    <w:rsid w:val="00DB0F59"/>
    <w:rsid w:val="00DB1D06"/>
    <w:rsid w:val="00DC1A26"/>
    <w:rsid w:val="00DE4583"/>
    <w:rsid w:val="00DF56DD"/>
    <w:rsid w:val="00E00265"/>
    <w:rsid w:val="00E0614C"/>
    <w:rsid w:val="00E212C2"/>
    <w:rsid w:val="00E3082A"/>
    <w:rsid w:val="00E354F4"/>
    <w:rsid w:val="00E451AF"/>
    <w:rsid w:val="00E569F8"/>
    <w:rsid w:val="00E621FC"/>
    <w:rsid w:val="00E65651"/>
    <w:rsid w:val="00E72F01"/>
    <w:rsid w:val="00E82E42"/>
    <w:rsid w:val="00E9162E"/>
    <w:rsid w:val="00EC02B4"/>
    <w:rsid w:val="00EC5DBB"/>
    <w:rsid w:val="00EC75B1"/>
    <w:rsid w:val="00EF3AE0"/>
    <w:rsid w:val="00F003F1"/>
    <w:rsid w:val="00F05EB2"/>
    <w:rsid w:val="00F372CE"/>
    <w:rsid w:val="00F63506"/>
    <w:rsid w:val="00F858D9"/>
    <w:rsid w:val="00FB3941"/>
    <w:rsid w:val="00FC1715"/>
    <w:rsid w:val="00FD0353"/>
    <w:rsid w:val="00FE5663"/>
    <w:rsid w:val="00FF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F85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rFonts w:eastAsia="SPT Phonetic"/>
      <w:sz w:val="24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noProof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noProof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noProof/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noProof/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customStyle="1" w:styleId="C">
    <w:name w:val="C"/>
    <w:basedOn w:val="A"/>
    <w:pPr>
      <w:ind w:left="1021"/>
    </w:pPr>
  </w:style>
  <w:style w:type="paragraph" w:customStyle="1" w:styleId="A">
    <w:name w:val="A"/>
    <w:basedOn w:val="Norml"/>
    <w:pPr>
      <w:ind w:left="170" w:hanging="170"/>
      <w:jc w:val="both"/>
    </w:pPr>
    <w:rPr>
      <w:color w:val="000000"/>
    </w:rPr>
  </w:style>
  <w:style w:type="paragraph" w:customStyle="1" w:styleId="B">
    <w:name w:val="B"/>
    <w:basedOn w:val="A"/>
    <w:pPr>
      <w:ind w:left="680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character" w:styleId="Lbjegyzet-hivatkozs">
    <w:name w:val="footnote reference"/>
    <w:semiHidden/>
    <w:rPr>
      <w:rFonts w:ascii="Times New Roman" w:hAnsi="Times New Roman"/>
      <w:noProof w:val="0"/>
      <w:position w:val="6"/>
      <w:sz w:val="16"/>
      <w:vertAlign w:val="superscript"/>
      <w:lang w:val="en-GB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rFonts w:eastAsia="SPT Phonetic"/>
      <w:sz w:val="24"/>
      <w:lang w:val="en-GB"/>
    </w:rPr>
  </w:style>
  <w:style w:type="character" w:styleId="Oldalszm">
    <w:name w:val="page number"/>
    <w:rPr>
      <w:rFonts w:ascii="Times New Roman" w:hAnsi="Times New Roman"/>
    </w:r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character" w:styleId="Jegyzethivatkozs">
    <w:name w:val="annotation reference"/>
    <w:semiHidden/>
    <w:rPr>
      <w:rFonts w:ascii="Times New Roman" w:hAnsi="Times New Roman"/>
      <w:sz w:val="16"/>
    </w:r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rPr>
      <w:rFonts w:ascii="Times New Roman" w:hAnsi="Times New Roman"/>
    </w:rPr>
  </w:style>
  <w:style w:type="paragraph" w:styleId="Normlbehzs">
    <w:name w:val="Normal Indent"/>
    <w:basedOn w:val="Norml"/>
    <w:pPr>
      <w:ind w:left="7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eastAsia="SPT Phonetic"/>
      <w:sz w:val="24"/>
      <w:lang w:val="en-US"/>
    </w:rPr>
  </w:style>
  <w:style w:type="paragraph" w:styleId="Szvegtrzs2">
    <w:name w:val="Body Text 2"/>
    <w:basedOn w:val="Norml"/>
    <w:pPr>
      <w:spacing w:after="240"/>
      <w:ind w:left="644" w:hanging="284"/>
      <w:jc w:val="both"/>
    </w:pPr>
    <w:rPr>
      <w:i/>
      <w:sz w:val="28"/>
    </w:rPr>
  </w:style>
  <w:style w:type="paragraph" w:customStyle="1" w:styleId="Sajt1">
    <w:name w:val="Saját1"/>
    <w:basedOn w:val="Norml"/>
    <w:pPr>
      <w:widowControl w:val="0"/>
    </w:pPr>
    <w:rPr>
      <w:i/>
    </w:rPr>
  </w:style>
  <w:style w:type="paragraph" w:styleId="Szvegtrzsbehzssal">
    <w:name w:val="Body Text Indent"/>
    <w:basedOn w:val="Norml"/>
    <w:pPr>
      <w:ind w:firstLine="360"/>
      <w:jc w:val="both"/>
    </w:pPr>
    <w:rPr>
      <w:sz w:val="20"/>
    </w:rPr>
  </w:style>
  <w:style w:type="paragraph" w:styleId="Szvegtrzs">
    <w:name w:val="Body Text"/>
    <w:basedOn w:val="Norml"/>
    <w:pPr>
      <w:jc w:val="both"/>
    </w:pPr>
  </w:style>
  <w:style w:type="paragraph" w:styleId="Dokumentumtrkp">
    <w:name w:val="Document Map"/>
    <w:basedOn w:val="Norml"/>
    <w:semiHidden/>
    <w:pPr>
      <w:shd w:val="clear" w:color="auto" w:fill="000080"/>
    </w:pPr>
  </w:style>
  <w:style w:type="paragraph" w:styleId="Szvegtrzsbehzssal3">
    <w:name w:val="Body Text Indent 3"/>
    <w:basedOn w:val="Norml"/>
    <w:pPr>
      <w:widowControl w:val="0"/>
      <w:ind w:left="709" w:hanging="709"/>
      <w:jc w:val="both"/>
    </w:pPr>
  </w:style>
  <w:style w:type="character" w:styleId="Mrltotthiperhivatkozs">
    <w:name w:val="FollowedHyperlink"/>
    <w:rPr>
      <w:rFonts w:ascii="Times New Roman" w:hAnsi="Times New Roman"/>
      <w:color w:val="800080"/>
      <w:u w:val="single"/>
    </w:rPr>
  </w:style>
  <w:style w:type="character" w:styleId="Vgjegyzet-hivatkozs">
    <w:name w:val="endnote reference"/>
    <w:semiHidden/>
    <w:rPr>
      <w:rFonts w:ascii="Times New Roman" w:hAnsi="Times New Roman"/>
      <w:vertAlign w:val="superscript"/>
    </w:rPr>
  </w:style>
  <w:style w:type="character" w:styleId="Kiemels">
    <w:name w:val="Emphasis"/>
    <w:qFormat/>
    <w:rPr>
      <w:rFonts w:ascii="Times New Roman" w:hAnsi="Times New Roman"/>
    </w:rPr>
  </w:style>
  <w:style w:type="character" w:customStyle="1" w:styleId="Kiemels21">
    <w:name w:val="Kiemelés21"/>
    <w:qFormat/>
    <w:rPr>
      <w:rFonts w:ascii="Times New Roman" w:hAnsi="Times New Roman"/>
      <w:b/>
    </w:rPr>
  </w:style>
  <w:style w:type="character" w:styleId="Hiperhivatkozs">
    <w:name w:val="Hyperlink"/>
    <w:rPr>
      <w:rFonts w:ascii="Times New Roman" w:hAnsi="Times New Roman"/>
      <w:color w:val="0000FF"/>
      <w:u w:val="single"/>
    </w:rPr>
  </w:style>
  <w:style w:type="paragraph" w:styleId="Szvegtrzsbehzssal2">
    <w:name w:val="Body Text Indent 2"/>
    <w:basedOn w:val="Norml"/>
    <w:pPr>
      <w:ind w:left="993"/>
      <w:jc w:val="both"/>
    </w:pPr>
  </w:style>
  <w:style w:type="paragraph" w:customStyle="1" w:styleId="Szvegtrzs21">
    <w:name w:val="Szövegtörzs 21"/>
    <w:basedOn w:val="Norml"/>
    <w:pPr>
      <w:jc w:val="center"/>
    </w:pPr>
  </w:style>
  <w:style w:type="paragraph" w:customStyle="1" w:styleId="Szvegtrzs31">
    <w:name w:val="Szövegtörzs 31"/>
    <w:basedOn w:val="Norml"/>
    <w:rPr>
      <w:sz w:val="1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0265"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rsid w:val="00AC0AF2"/>
    <w:rPr>
      <w:b/>
      <w:bCs/>
    </w:rPr>
  </w:style>
  <w:style w:type="character" w:customStyle="1" w:styleId="JegyzetszvegChar">
    <w:name w:val="Jegyzetszöveg Char"/>
    <w:link w:val="Jegyzetszveg"/>
    <w:semiHidden/>
    <w:rsid w:val="00AC0AF2"/>
    <w:rPr>
      <w:rFonts w:eastAsia="SPT Phonetic"/>
    </w:rPr>
  </w:style>
  <w:style w:type="character" w:customStyle="1" w:styleId="MegjegyzstrgyaChar">
    <w:name w:val="Megjegyzés tárgya Char"/>
    <w:link w:val="Megjegyzstrgya"/>
    <w:rsid w:val="00AC0AF2"/>
    <w:rPr>
      <w:rFonts w:eastAsia="SPT Phonetic"/>
      <w:b/>
      <w:bCs/>
    </w:rPr>
  </w:style>
  <w:style w:type="paragraph" w:styleId="NormlWeb">
    <w:name w:val="Normal (Web)"/>
    <w:basedOn w:val="Norml"/>
    <w:uiPriority w:val="99"/>
    <w:unhideWhenUsed/>
    <w:rsid w:val="007F7FF0"/>
    <w:pPr>
      <w:spacing w:before="100" w:beforeAutospacing="1" w:after="100" w:afterAutospacing="1"/>
    </w:pPr>
    <w:rPr>
      <w:rFonts w:eastAsia="Times New Roman"/>
      <w:szCs w:val="24"/>
    </w:rPr>
  </w:style>
  <w:style w:type="paragraph" w:styleId="Vltozat">
    <w:name w:val="Revision"/>
    <w:hidden/>
    <w:uiPriority w:val="99"/>
    <w:semiHidden/>
    <w:rsid w:val="00C46D4B"/>
    <w:rPr>
      <w:rFonts w:eastAsia="SPT Phonetic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rFonts w:eastAsia="SPT Phonetic"/>
      <w:sz w:val="24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noProof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noProof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noProof/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noProof/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customStyle="1" w:styleId="C">
    <w:name w:val="C"/>
    <w:basedOn w:val="A"/>
    <w:pPr>
      <w:ind w:left="1021"/>
    </w:pPr>
  </w:style>
  <w:style w:type="paragraph" w:customStyle="1" w:styleId="A">
    <w:name w:val="A"/>
    <w:basedOn w:val="Norml"/>
    <w:pPr>
      <w:ind w:left="170" w:hanging="170"/>
      <w:jc w:val="both"/>
    </w:pPr>
    <w:rPr>
      <w:color w:val="000000"/>
    </w:rPr>
  </w:style>
  <w:style w:type="paragraph" w:customStyle="1" w:styleId="B">
    <w:name w:val="B"/>
    <w:basedOn w:val="A"/>
    <w:pPr>
      <w:ind w:left="680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character" w:styleId="Lbjegyzet-hivatkozs">
    <w:name w:val="footnote reference"/>
    <w:semiHidden/>
    <w:rPr>
      <w:rFonts w:ascii="Times New Roman" w:hAnsi="Times New Roman"/>
      <w:noProof w:val="0"/>
      <w:position w:val="6"/>
      <w:sz w:val="16"/>
      <w:vertAlign w:val="superscript"/>
      <w:lang w:val="en-GB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rFonts w:eastAsia="SPT Phonetic"/>
      <w:sz w:val="24"/>
      <w:lang w:val="en-GB"/>
    </w:rPr>
  </w:style>
  <w:style w:type="character" w:styleId="Oldalszm">
    <w:name w:val="page number"/>
    <w:rPr>
      <w:rFonts w:ascii="Times New Roman" w:hAnsi="Times New Roman"/>
    </w:r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character" w:styleId="Jegyzethivatkozs">
    <w:name w:val="annotation reference"/>
    <w:semiHidden/>
    <w:rPr>
      <w:rFonts w:ascii="Times New Roman" w:hAnsi="Times New Roman"/>
      <w:sz w:val="16"/>
    </w:r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rPr>
      <w:rFonts w:ascii="Times New Roman" w:hAnsi="Times New Roman"/>
    </w:rPr>
  </w:style>
  <w:style w:type="paragraph" w:styleId="Normlbehzs">
    <w:name w:val="Normal Indent"/>
    <w:basedOn w:val="Norml"/>
    <w:pPr>
      <w:ind w:left="7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eastAsia="SPT Phonetic"/>
      <w:sz w:val="24"/>
      <w:lang w:val="en-US"/>
    </w:rPr>
  </w:style>
  <w:style w:type="paragraph" w:styleId="Szvegtrzs2">
    <w:name w:val="Body Text 2"/>
    <w:basedOn w:val="Norml"/>
    <w:pPr>
      <w:spacing w:after="240"/>
      <w:ind w:left="644" w:hanging="284"/>
      <w:jc w:val="both"/>
    </w:pPr>
    <w:rPr>
      <w:i/>
      <w:sz w:val="28"/>
    </w:rPr>
  </w:style>
  <w:style w:type="paragraph" w:customStyle="1" w:styleId="Sajt1">
    <w:name w:val="Saját1"/>
    <w:basedOn w:val="Norml"/>
    <w:pPr>
      <w:widowControl w:val="0"/>
    </w:pPr>
    <w:rPr>
      <w:i/>
    </w:rPr>
  </w:style>
  <w:style w:type="paragraph" w:styleId="Szvegtrzsbehzssal">
    <w:name w:val="Body Text Indent"/>
    <w:basedOn w:val="Norml"/>
    <w:pPr>
      <w:ind w:firstLine="360"/>
      <w:jc w:val="both"/>
    </w:pPr>
    <w:rPr>
      <w:sz w:val="20"/>
    </w:rPr>
  </w:style>
  <w:style w:type="paragraph" w:styleId="Szvegtrzs">
    <w:name w:val="Body Text"/>
    <w:basedOn w:val="Norml"/>
    <w:pPr>
      <w:jc w:val="both"/>
    </w:pPr>
  </w:style>
  <w:style w:type="paragraph" w:styleId="Dokumentumtrkp">
    <w:name w:val="Document Map"/>
    <w:basedOn w:val="Norml"/>
    <w:semiHidden/>
    <w:pPr>
      <w:shd w:val="clear" w:color="auto" w:fill="000080"/>
    </w:pPr>
  </w:style>
  <w:style w:type="paragraph" w:styleId="Szvegtrzsbehzssal3">
    <w:name w:val="Body Text Indent 3"/>
    <w:basedOn w:val="Norml"/>
    <w:pPr>
      <w:widowControl w:val="0"/>
      <w:ind w:left="709" w:hanging="709"/>
      <w:jc w:val="both"/>
    </w:pPr>
  </w:style>
  <w:style w:type="character" w:styleId="Mrltotthiperhivatkozs">
    <w:name w:val="FollowedHyperlink"/>
    <w:rPr>
      <w:rFonts w:ascii="Times New Roman" w:hAnsi="Times New Roman"/>
      <w:color w:val="800080"/>
      <w:u w:val="single"/>
    </w:rPr>
  </w:style>
  <w:style w:type="character" w:styleId="Vgjegyzet-hivatkozs">
    <w:name w:val="endnote reference"/>
    <w:semiHidden/>
    <w:rPr>
      <w:rFonts w:ascii="Times New Roman" w:hAnsi="Times New Roman"/>
      <w:vertAlign w:val="superscript"/>
    </w:rPr>
  </w:style>
  <w:style w:type="character" w:styleId="Kiemels">
    <w:name w:val="Emphasis"/>
    <w:qFormat/>
    <w:rPr>
      <w:rFonts w:ascii="Times New Roman" w:hAnsi="Times New Roman"/>
    </w:rPr>
  </w:style>
  <w:style w:type="character" w:customStyle="1" w:styleId="Kiemels21">
    <w:name w:val="Kiemelés21"/>
    <w:qFormat/>
    <w:rPr>
      <w:rFonts w:ascii="Times New Roman" w:hAnsi="Times New Roman"/>
      <w:b/>
    </w:rPr>
  </w:style>
  <w:style w:type="character" w:styleId="Hiperhivatkozs">
    <w:name w:val="Hyperlink"/>
    <w:rPr>
      <w:rFonts w:ascii="Times New Roman" w:hAnsi="Times New Roman"/>
      <w:color w:val="0000FF"/>
      <w:u w:val="single"/>
    </w:rPr>
  </w:style>
  <w:style w:type="paragraph" w:styleId="Szvegtrzsbehzssal2">
    <w:name w:val="Body Text Indent 2"/>
    <w:basedOn w:val="Norml"/>
    <w:pPr>
      <w:ind w:left="993"/>
      <w:jc w:val="both"/>
    </w:pPr>
  </w:style>
  <w:style w:type="paragraph" w:customStyle="1" w:styleId="Szvegtrzs21">
    <w:name w:val="Szövegtörzs 21"/>
    <w:basedOn w:val="Norml"/>
    <w:pPr>
      <w:jc w:val="center"/>
    </w:pPr>
  </w:style>
  <w:style w:type="paragraph" w:customStyle="1" w:styleId="Szvegtrzs31">
    <w:name w:val="Szövegtörzs 31"/>
    <w:basedOn w:val="Norml"/>
    <w:rPr>
      <w:sz w:val="1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0265"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rsid w:val="00AC0AF2"/>
    <w:rPr>
      <w:b/>
      <w:bCs/>
    </w:rPr>
  </w:style>
  <w:style w:type="character" w:customStyle="1" w:styleId="JegyzetszvegChar">
    <w:name w:val="Jegyzetszöveg Char"/>
    <w:link w:val="Jegyzetszveg"/>
    <w:semiHidden/>
    <w:rsid w:val="00AC0AF2"/>
    <w:rPr>
      <w:rFonts w:eastAsia="SPT Phonetic"/>
    </w:rPr>
  </w:style>
  <w:style w:type="character" w:customStyle="1" w:styleId="MegjegyzstrgyaChar">
    <w:name w:val="Megjegyzés tárgya Char"/>
    <w:link w:val="Megjegyzstrgya"/>
    <w:rsid w:val="00AC0AF2"/>
    <w:rPr>
      <w:rFonts w:eastAsia="SPT Phonetic"/>
      <w:b/>
      <w:bCs/>
    </w:rPr>
  </w:style>
  <w:style w:type="paragraph" w:styleId="NormlWeb">
    <w:name w:val="Normal (Web)"/>
    <w:basedOn w:val="Norml"/>
    <w:uiPriority w:val="99"/>
    <w:unhideWhenUsed/>
    <w:rsid w:val="007F7FF0"/>
    <w:pPr>
      <w:spacing w:before="100" w:beforeAutospacing="1" w:after="100" w:afterAutospacing="1"/>
    </w:pPr>
    <w:rPr>
      <w:rFonts w:eastAsia="Times New Roman"/>
      <w:szCs w:val="24"/>
    </w:rPr>
  </w:style>
  <w:style w:type="paragraph" w:styleId="Vltozat">
    <w:name w:val="Revision"/>
    <w:hidden/>
    <w:uiPriority w:val="99"/>
    <w:semiHidden/>
    <w:rsid w:val="00C46D4B"/>
    <w:rPr>
      <w:rFonts w:eastAsia="SPT Phonet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AB4-65C0-4859-A7F0-CF1D7AB70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C2D2B6-7824-406D-8732-D6A1DCA237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96137-7F09-421F-A9D0-78CC549A5F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40F8EB-02F9-4807-847C-3E1A0D1D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3525</Words>
  <Characters>24323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MARUO</vt:lpstr>
    </vt:vector>
  </TitlesOfParts>
  <Company>Magyar Telekom</Company>
  <LinksUpToDate>false</LinksUpToDate>
  <CharactersWithSpaces>27793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MARUO</dc:title>
  <dc:creator>NEMETHGABOR</dc:creator>
  <cp:keywords>Berendezés bevizsgalas</cp:keywords>
  <cp:lastModifiedBy>Bölcskei Vanda</cp:lastModifiedBy>
  <cp:revision>2</cp:revision>
  <cp:lastPrinted>2008-05-09T07:00:00Z</cp:lastPrinted>
  <dcterms:created xsi:type="dcterms:W3CDTF">2018-12-01T11:47:00Z</dcterms:created>
  <dcterms:modified xsi:type="dcterms:W3CDTF">2018-12-01T11:47:00Z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